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Approved Product Dossier — editorial working template</w:t>
      </w:r>
    </w:p>
    <w:p>
      <w:pPr>
        <w:pStyle w:val="TemplateSubtitle"/>
      </w:pPr>
      <w:r>
        <w:t>Editable Word working copy generated from the associated Markdown source. Complete bracketed fields and preserve the evidence, version, and review records.</w:t>
      </w:r>
    </w:p>
    <w:p>
      <w:pPr>
        <w:spacing w:after="160"/>
        <w:ind w:left="360"/>
      </w:pPr>
      <w:r>
        <w:rPr>
          <w:b/>
        </w:rPr>
        <w:t>For drafting only.</w:t>
      </w:r>
      <w:r>
        <w:t xml:space="preserve"> This original worksheet aligns to the B section family in AMCP Format 5.0 without reproducing AMCP text. It is not an AMCP form. Document the unsolicited HCDM request and obtain internal legal/regulatory/compliance review before external response.</w:t>
      </w:r>
    </w:p>
    <w:p>
      <w:pPr>
        <w:pStyle w:val="Heading2"/>
      </w:pPr>
      <w:r>
        <w:t>Dossier control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 w:val="true"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Field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Complete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Product / sponsor / approved indication(s)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Approved label version and effective date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HCDM unsolicited request: date, requestor, scope, and record location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Draft version / evidence cutoff / owner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Intended distribution and controls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Link to common instructions / evidence trace / change log</w:t>
            </w:r>
          </w:p>
        </w:tc>
        <w:tc>
          <w:tcPr>
            <w:tcW w:type="dxa" w:w="50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</w:tbl>
    <w:p/>
    <w:p>
      <w:pPr>
        <w:pStyle w:val="Heading2"/>
      </w:pPr>
      <w:r>
        <w:t>1.0B — Executive summary: clinical and economic value</w:t>
      </w:r>
    </w:p>
    <w:p>
      <w:pPr>
        <w:spacing w:after="160"/>
        <w:ind w:left="360"/>
      </w:pPr>
      <w:r>
        <w:t>Each statement must link to a supporting location in Sections 2.0B–5.0B.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tblHeader w:val="true"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Summary statement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Supporting section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Key limitation / qualifier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Clinical benefit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Comparative effectiveness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Safety / tolerability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Economic / budget implication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Equity, access, or patient impact</w:t>
            </w: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Heading2"/>
      </w:pPr>
      <w:r>
        <w:t>2.0B — Product information and disease description</w:t>
      </w:r>
    </w:p>
    <w:p>
      <w:pPr>
        <w:pStyle w:val="Heading3"/>
      </w:pPr>
      <w:r>
        <w:t>2.1B Product information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 w:val="true"/>
        </w:trPr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Topic</w:t>
            </w: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Current approved / evidence-supported content</w:t>
            </w: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Approved label and use</w:t>
            </w: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Dosing, administration, and site of care</w:t>
            </w: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Safety, monitoring, REMS, and operational requirements</w:t>
            </w: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  <w:r>
              <w:rPr>
                <w:rFonts w:ascii="Aptos" w:hAnsi="Aptos"/>
                <w:sz w:val="22"/>
              </w:rPr>
              <w:t>Price / contracting assumptions and effective date</w:t>
            </w: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33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</w:tbl>
    <w:p/>
    <w:p>
      <w:pPr>
        <w:pStyle w:val="Heading3"/>
      </w:pPr>
      <w:r>
        <w:t>2.2B Place of product in therapy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Population / pathway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Comparator(s)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Current clinical rationale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Access / equity consideration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Heading3"/>
      </w:pPr>
      <w:r>
        <w:t>2.3B Evidence for companion diagnostic tests</w:t>
      </w:r>
    </w:p>
    <w:p>
      <w:pPr>
        <w:pStyle w:val="ListBullet"/>
        <w:spacing w:after="60"/>
      </w:pPr>
      <w:r>
        <w:t>Test and intended use, analytic validity, clinical validity, clinical utility, economic implications, and supporting evidence IDs. Mark not applicable with a reason when no companion diagnostic is relevant:</w:t>
      </w:r>
    </w:p>
    <w:p>
      <w:pPr>
        <w:pStyle w:val="Heading2"/>
      </w:pPr>
      <w:r>
        <w:t>3.0B — Clinical evidence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Study / design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Population / comparator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Endpoint / effect / uncertainty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Applicability and limitation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Heading3"/>
      </w:pPr>
      <w:r>
        <w:t>RWE and indirect-comparison review</w:t>
      </w:r>
    </w:p>
    <w:p>
      <w:pPr>
        <w:pStyle w:val="ListBullet"/>
        <w:spacing w:after="60"/>
      </w:pPr>
      <w:r>
        <w:t>RWE protocol/SAP, data source, estimand, algorithm/version, and major bias limitations:</w:t>
      </w:r>
    </w:p>
    <w:p>
      <w:pPr>
        <w:pStyle w:val="ListBullet"/>
        <w:spacing w:after="60"/>
      </w:pPr>
      <w:r>
        <w:t>ITC/NMA review: systematic review provenance, network, transitivity, heterogeneity/inconsistency, certainty, and conclusion boundary:</w:t>
      </w:r>
    </w:p>
    <w:p>
      <w:pPr>
        <w:pStyle w:val="ListBullet"/>
        <w:spacing w:after="60"/>
      </w:pPr>
      <w:r>
        <w:t>Evidence synthesis: what is consistent, uncertain, or absent:</w:t>
      </w:r>
    </w:p>
    <w:p>
      <w:pPr>
        <w:pStyle w:val="Heading2"/>
      </w:pPr>
      <w:r>
        <w:t>4.0B — Economic value and modeling report</w:t>
      </w:r>
    </w:p>
    <w:p>
      <w:pPr>
        <w:pStyle w:val="Heading3"/>
      </w:pPr>
      <w:r>
        <w:t>4.1B Modeling overview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cantSplit/>
          <w:tblHeader w:val="true"/>
        </w:trPr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Decision problem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Population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Comparator(s)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Perspective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Horizon</w:t>
            </w: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Model / source version</w:t>
            </w:r>
          </w:p>
        </w:tc>
      </w:tr>
      <w:tr>
        <w:trPr>
          <w:cantSplit/>
        </w:trPr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1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Heading3"/>
      </w:pPr>
      <w:r>
        <w:t>4.2B Cost-effectiveness analysis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Result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Base-case assumption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Uncertainty / scenario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Validation / QA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Evidence ID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Heading3"/>
      </w:pPr>
      <w:r>
        <w:t>4.3B Budget impact model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Plan characteristic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Uptake / displacement assumption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Cost inputs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Scenario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F4E79"/>
          </w:tcPr>
          <w:p>
            <w:pPr>
              <w:spacing w:after="0" w:line="252" w:lineRule="auto"/>
            </w:pPr>
            <w:r>
              <w:rPr>
                <w:rFonts w:ascii="Aptos" w:hAnsi="Aptos"/>
                <w:b/>
                <w:color w:val="FFFFFF"/>
                <w:sz w:val="22"/>
              </w:rPr>
              <w:t>Limitation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6F9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2" w:lineRule="auto"/>
            </w:pPr>
          </w:p>
        </w:tc>
      </w:tr>
    </w:tbl>
    <w:p/>
    <w:p>
      <w:pPr>
        <w:pStyle w:val="Heading3"/>
      </w:pPr>
      <w:r>
        <w:t>4.4B Modeling report and interactive model</w:t>
      </w:r>
    </w:p>
    <w:p>
      <w:pPr>
        <w:pStyle w:val="ListBullet"/>
        <w:spacing w:after="60"/>
      </w:pPr>
      <w:r>
        <w:t>Model access/distribution process:</w:t>
      </w:r>
    </w:p>
    <w:p>
      <w:pPr>
        <w:pStyle w:val="ListBullet"/>
        <w:spacing w:after="60"/>
      </w:pPr>
      <w:r>
        <w:t>Input provenance and update date:</w:t>
      </w:r>
    </w:p>
    <w:p>
      <w:pPr>
        <w:pStyle w:val="ListBullet"/>
        <w:spacing w:after="60"/>
      </w:pPr>
      <w:r>
        <w:t>Validation/calibration and technical-report location:</w:t>
      </w:r>
    </w:p>
    <w:p>
      <w:pPr>
        <w:pStyle w:val="ListBullet"/>
        <w:spacing w:after="60"/>
      </w:pPr>
      <w:r>
        <w:t>Reviewer questions / response log:</w:t>
      </w:r>
    </w:p>
    <w:p>
      <w:pPr>
        <w:pStyle w:val="Heading2"/>
      </w:pPr>
      <w:r>
        <w:t>5.0B — Additional supporting evidence</w:t>
      </w:r>
    </w:p>
    <w:p>
      <w:pPr>
        <w:pStyle w:val="ListBullet"/>
        <w:spacing w:after="60"/>
      </w:pPr>
      <w:r>
        <w:t>Guidelines, HTAs, and systematic reviews:</w:t>
      </w:r>
    </w:p>
    <w:p>
      <w:pPr>
        <w:pStyle w:val="ListBullet"/>
        <w:spacing w:after="60"/>
      </w:pPr>
      <w:r>
        <w:t>Other clinical/economic/outcomes evidence:</w:t>
      </w:r>
    </w:p>
    <w:p>
      <w:pPr>
        <w:pStyle w:val="ListBullet"/>
        <w:spacing w:after="60"/>
      </w:pPr>
      <w:r>
        <w:t>Health-disparity and quality-measure evidence:</w:t>
      </w:r>
    </w:p>
    <w:p>
      <w:pPr>
        <w:pStyle w:val="ListBullet"/>
        <w:spacing w:after="60"/>
      </w:pPr>
      <w:r>
        <w:t>Patient-reported outcomes and patient-experience evidence:</w:t>
      </w:r>
    </w:p>
    <w:p>
      <w:pPr>
        <w:pStyle w:val="ListBullet"/>
        <w:spacing w:after="60"/>
      </w:pPr>
      <w:r>
        <w:t>Evidence gaps and material uncertainties:</w:t>
      </w:r>
    </w:p>
    <w:p>
      <w:pPr>
        <w:pStyle w:val="Heading2"/>
      </w:pPr>
      <w:r>
        <w:t>6.0B — Dossier appendices</w:t>
      </w:r>
    </w:p>
    <w:p>
      <w:pPr>
        <w:pStyle w:val="ListBullet"/>
        <w:spacing w:after="60"/>
      </w:pPr>
      <w:r>
        <w:t>☐ Reference list and evidence tables</w:t>
      </w:r>
    </w:p>
    <w:p>
      <w:pPr>
        <w:pStyle w:val="ListBullet"/>
        <w:spacing w:after="60"/>
      </w:pPr>
      <w:r>
        <w:t>☐ Economic model technical report / model access instructions</w:t>
      </w:r>
    </w:p>
    <w:p>
      <w:pPr>
        <w:pStyle w:val="ListBullet"/>
        <w:spacing w:after="60"/>
      </w:pPr>
      <w:r>
        <w:t>☐ Current prescribing information and patient information</w:t>
      </w:r>
    </w:p>
    <w:p>
      <w:pPr>
        <w:pStyle w:val="ListBullet"/>
        <w:spacing w:after="60"/>
      </w:pPr>
      <w:r>
        <w:t>☐ Supporting study materials and permitted appendices</w:t>
      </w:r>
    </w:p>
    <w:p>
      <w:pPr>
        <w:pStyle w:val="ListBullet"/>
        <w:spacing w:after="60"/>
      </w:pPr>
      <w:r>
        <w:t>☐ DTx appendices, if relevant</w:t>
      </w:r>
    </w:p>
    <w:p>
      <w:pPr>
        <w:pStyle w:val="ListBullet"/>
        <w:spacing w:after="60"/>
      </w:pPr>
      <w:r>
        <w:t>☐ Change log, unsolicited-request record, and distribution record</w:t>
      </w:r>
    </w:p>
    <w:p>
      <w:pPr>
        <w:pStyle w:val="Heading2"/>
      </w:pPr>
      <w:r>
        <w:t>Final internal check</w:t>
      </w:r>
    </w:p>
    <w:p>
      <w:pPr>
        <w:pStyle w:val="ListBullet"/>
        <w:spacing w:after="60"/>
      </w:pPr>
      <w:r>
        <w:t>☐ Executive-summary statements trace to Sections 2.0B–5.0B.</w:t>
      </w:r>
    </w:p>
    <w:p>
      <w:pPr>
        <w:pStyle w:val="ListBullet"/>
        <w:spacing w:after="60"/>
      </w:pPr>
      <w:r>
        <w:t>☐ Current/approved information is dated; off-label/unapproved-use material is identified and reviewed.</w:t>
      </w:r>
    </w:p>
    <w:p>
      <w:pPr>
        <w:pStyle w:val="ListBullet"/>
        <w:spacing w:after="60"/>
      </w:pPr>
      <w:r>
        <w:t>☐ Model inputs, results, uncertainty, and validation are visible.</w:t>
      </w:r>
    </w:p>
    <w:p>
      <w:pPr>
        <w:pStyle w:val="ListBullet"/>
        <w:spacing w:after="60"/>
      </w:pPr>
      <w:r>
        <w:t>☐ The complete dossier was reviewed against official AMCP Format 5.0 and payer-specific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Approved Product Dossier — editorial working template  |  Generated 2026-10-31  |  Markdown source remains authoritative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A5A5A"/>
        <w:sz w:val="16"/>
      </w:rPr>
      <w:t>RWEdnesdays editorial working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Subtitle">
    <w:name w:val="Template Subtitle"/>
    <w:pPr>
      <w:spacing w:after="280"/>
    </w:pPr>
    <w:rPr>
      <w:rFonts w:ascii="Aptos" w:hAnsi="Aptos"/>
      <w:i/>
      <w:color w:val="50505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