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Unapproved Product Dossier — editorial working template</w:t>
      </w:r>
    </w:p>
    <w:p>
      <w:pPr>
        <w:pStyle w:val="TemplateSubtitle"/>
      </w:pPr>
      <w:r>
        <w:t>Editable Word working copy generated from the associated Markdown source. Complete bracketed fields and preserve the evidence, version, and review records.</w:t>
      </w:r>
    </w:p>
    <w:p>
      <w:pPr>
        <w:spacing w:after="160"/>
        <w:ind w:left="360"/>
      </w:pPr>
      <w:r>
        <w:rPr>
          <w:b/>
        </w:rPr>
        <w:t>For drafting only.</w:t>
      </w:r>
      <w:r>
        <w:t xml:space="preserve"> This original worksheet aligns to the A section family in AMCP Format 5.0 without reproducing AMCP text. It is not an AMCP form. Use the official Format and internal legal/regulatory/compliance review before any communication.</w:t>
      </w:r>
    </w:p>
    <w:p>
      <w:pPr>
        <w:pStyle w:val="Heading2"/>
      </w:pPr>
      <w:r>
        <w:t>Dossier control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 w:val="true"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Field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Complete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Product / sponsor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Draft version / date / owner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Regulatory status; anticipated milestone(s)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Intended HCDM audience / purpose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Evidence cutoff date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Required status statement confirmed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Link to common instructions / evidence trace / change log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r>
        <w:rPr>
          <w:b/>
        </w:rPr>
        <w:t>Required drafting discipline:</w:t>
      </w:r>
      <w:r>
        <w:t xml:space="preserve"> label information </w:t>
      </w:r>
      <w:r>
        <w:rPr>
          <w:b/>
        </w:rPr>
        <w:t>projected/pending</w:t>
      </w:r>
      <w:r>
        <w:t xml:space="preserve"> or </w:t>
      </w:r>
      <w:r>
        <w:rPr>
          <w:b/>
        </w:rPr>
        <w:t>unavailable</w:t>
      </w:r>
      <w:r>
        <w:t xml:space="preserve"> where appropriate. Use factual, objective wording. Do not write a value proposition or characterize/conclude on safety or effectiveness for the unapproved product.</w:t>
      </w:r>
    </w:p>
    <w:p>
      <w:pPr>
        <w:pStyle w:val="Heading2"/>
      </w:pPr>
      <w:r>
        <w:t>1.0A — Highlights and overview</w:t>
      </w:r>
    </w:p>
    <w:p>
      <w:pPr>
        <w:pStyle w:val="ListBullet"/>
        <w:spacing w:after="60"/>
      </w:pPr>
      <w:r>
        <w:t>Product and anticipated use: [factual description]</w:t>
      </w:r>
    </w:p>
    <w:p>
      <w:pPr>
        <w:pStyle w:val="ListBullet"/>
        <w:spacing w:after="60"/>
      </w:pPr>
      <w:r>
        <w:t>Development status, key milestones, and uncertainty:</w:t>
      </w:r>
    </w:p>
    <w:p>
      <w:pPr>
        <w:pStyle w:val="ListBullet"/>
        <w:spacing w:after="60"/>
      </w:pPr>
      <w:r>
        <w:t>Disease burden / anticipated population:</w:t>
      </w:r>
    </w:p>
    <w:p>
      <w:pPr>
        <w:pStyle w:val="ListBullet"/>
        <w:spacing w:after="60"/>
      </w:pPr>
      <w:r>
        <w:t>Anticipated administration, care setting, distribution, and support:</w:t>
      </w:r>
    </w:p>
    <w:p>
      <w:pPr>
        <w:pStyle w:val="ListBullet"/>
        <w:spacing w:after="60"/>
      </w:pPr>
      <w:r>
        <w:t>Projected pricing / access information, basis, range, and uncertainty:</w:t>
      </w:r>
    </w:p>
    <w:p>
      <w:pPr>
        <w:pStyle w:val="ListBullet"/>
        <w:spacing w:after="60"/>
      </w:pPr>
      <w:r>
        <w:t>Unapproved-status limitation:</w:t>
      </w:r>
    </w:p>
    <w:p>
      <w:pPr>
        <w:pStyle w:val="ListBullet"/>
        <w:spacing w:after="60"/>
      </w:pPr>
      <w:r>
        <w:t>Linked evidence IDs:</w:t>
      </w:r>
    </w:p>
    <w:p>
      <w:pPr>
        <w:pStyle w:val="Heading2"/>
      </w:pPr>
      <w:r>
        <w:t>2.0A — Product information and disease description</w:t>
      </w:r>
    </w:p>
    <w:p>
      <w:pPr>
        <w:pStyle w:val="Heading3"/>
      </w:pPr>
      <w:r>
        <w:t>2.1A Product information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tblHeader w:val="true"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Topic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Draft factual content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Status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Product / class / mechanism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Anticipated indication / population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Development program and regulatory milestones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Administration / site of care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Product-specific operational considerations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2.2A Disease description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tblHeader w:val="true"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Topic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Draft factual content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Population relevance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Epidemiology / burden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Current treatment pathway and unmet need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Equity / access considerations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2"/>
      </w:pPr>
      <w:r>
        <w:t>3.0A — Clinical evidence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cantSplit/>
          <w:tblHeader w:val="true"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Study / source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Design and status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Population / comparator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Endpoint and result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Material limitation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ListBullet"/>
        <w:spacing w:after="60"/>
      </w:pPr>
      <w:r>
        <w:t>Study synthesis and remaining evidence gaps:</w:t>
      </w:r>
    </w:p>
    <w:p>
      <w:pPr>
        <w:pStyle w:val="ListBullet"/>
        <w:spacing w:after="60"/>
      </w:pPr>
      <w:r>
        <w:t>Planned / ongoing studies (clearly labeled):</w:t>
      </w:r>
    </w:p>
    <w:p>
      <w:pPr>
        <w:pStyle w:val="ListBullet"/>
        <w:spacing w:after="60"/>
      </w:pPr>
      <w:r>
        <w:t>RWE availability, data fitness, and protocol status:</w:t>
      </w:r>
    </w:p>
    <w:p>
      <w:pPr>
        <w:pStyle w:val="ListBullet"/>
        <w:spacing w:after="60"/>
      </w:pPr>
      <w:r>
        <w:t>ITC/NMA: network scope, assumptions, certainty, and limits:</w:t>
      </w:r>
    </w:p>
    <w:p>
      <w:pPr>
        <w:pStyle w:val="Heading2"/>
      </w:pPr>
      <w:r>
        <w:t>4.0A — Economic information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Topic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Input / assumption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Projected status and basis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Sensitivity / uncertainty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Anticipated acquisition / administration costs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Resource use and site-of-care assumptions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Expected budget considerations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Economic evidence available to date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</w:tbl>
    <w:p/>
    <w:p>
      <w:pPr>
        <w:pStyle w:val="Heading2"/>
      </w:pPr>
      <w:r>
        <w:t>5.0A — Additional supporting evidence</w:t>
      </w:r>
    </w:p>
    <w:p>
      <w:pPr>
        <w:pStyle w:val="ListBullet"/>
        <w:spacing w:after="60"/>
      </w:pPr>
      <w:r>
        <w:t>Clinical practice guidelines / systematic reviews:</w:t>
      </w:r>
    </w:p>
    <w:p>
      <w:pPr>
        <w:pStyle w:val="ListBullet"/>
        <w:spacing w:after="60"/>
      </w:pPr>
      <w:r>
        <w:t>HTA, evidence reviews, and contextual evidence:</w:t>
      </w:r>
    </w:p>
    <w:p>
      <w:pPr>
        <w:pStyle w:val="ListBullet"/>
        <w:spacing w:after="60"/>
      </w:pPr>
      <w:r>
        <w:t>Patient experience, PRO, health-disparity, and quality-measure evidence:</w:t>
      </w:r>
    </w:p>
    <w:p>
      <w:pPr>
        <w:pStyle w:val="ListBullet"/>
        <w:spacing w:after="60"/>
      </w:pPr>
      <w:r>
        <w:t>Other factual supporting information:</w:t>
      </w:r>
    </w:p>
    <w:p>
      <w:pPr>
        <w:pStyle w:val="ListBullet"/>
        <w:spacing w:after="60"/>
      </w:pPr>
      <w:r>
        <w:t>Evidence gaps / unavailable material:</w:t>
      </w:r>
    </w:p>
    <w:p>
      <w:pPr>
        <w:pStyle w:val="Heading2"/>
      </w:pPr>
      <w:r>
        <w:t>6.0A — Dossier appendices</w:t>
      </w:r>
    </w:p>
    <w:p>
      <w:pPr>
        <w:pStyle w:val="ListBullet"/>
        <w:spacing w:after="60"/>
      </w:pPr>
      <w:r>
        <w:t>☐ References and evidence table</w:t>
      </w:r>
    </w:p>
    <w:p>
      <w:pPr>
        <w:pStyle w:val="ListBullet"/>
        <w:spacing w:after="60"/>
      </w:pPr>
      <w:r>
        <w:t>☐ Study summaries / protocols / SAPs as permitted</w:t>
      </w:r>
    </w:p>
    <w:p>
      <w:pPr>
        <w:pStyle w:val="ListBullet"/>
        <w:spacing w:after="60"/>
      </w:pPr>
      <w:r>
        <w:t>☐ Economic-input documentation as permitted</w:t>
      </w:r>
    </w:p>
    <w:p>
      <w:pPr>
        <w:pStyle w:val="ListBullet"/>
        <w:spacing w:after="60"/>
      </w:pPr>
      <w:r>
        <w:t>☐ Product and administration materials as permitted</w:t>
      </w:r>
    </w:p>
    <w:p>
      <w:pPr>
        <w:pStyle w:val="ListBullet"/>
        <w:spacing w:after="60"/>
      </w:pPr>
      <w:r>
        <w:t>☐ DTx / technical appendices where relevant</w:t>
      </w:r>
    </w:p>
    <w:p>
      <w:pPr>
        <w:pStyle w:val="ListBullet"/>
        <w:spacing w:after="60"/>
      </w:pPr>
      <w:r>
        <w:t>☐ Versioned change log and distribution record</w:t>
      </w:r>
    </w:p>
    <w:p>
      <w:pPr>
        <w:pStyle w:val="Heading2"/>
      </w:pPr>
      <w:r>
        <w:t>Final internal check</w:t>
      </w:r>
    </w:p>
    <w:p>
      <w:pPr>
        <w:pStyle w:val="ListBullet"/>
        <w:spacing w:after="60"/>
      </w:pPr>
      <w:r>
        <w:t>☐ Each claim is factual/objective and linked to evidence.</w:t>
      </w:r>
    </w:p>
    <w:p>
      <w:pPr>
        <w:pStyle w:val="ListBullet"/>
        <w:spacing w:after="60"/>
      </w:pPr>
      <w:r>
        <w:t>☐ Projected information is conspicuously separated from approved/current information.</w:t>
      </w:r>
    </w:p>
    <w:p>
      <w:pPr>
        <w:pStyle w:val="ListBullet"/>
        <w:spacing w:after="60"/>
      </w:pPr>
      <w:r>
        <w:t>☐ No executive-summary value proposition was added.</w:t>
      </w:r>
    </w:p>
    <w:p>
      <w:pPr>
        <w:pStyle w:val="ListBullet"/>
        <w:spacing w:after="60"/>
      </w:pPr>
      <w:r>
        <w:t>☐ The complete dossier was reviewed against official AMCP Format 5.0.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Unapproved Product Dossier — editorial working template  |  Generated 2026-10-31  |  Markdown source remains authoritative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A5A5A"/>
        <w:sz w:val="16"/>
      </w:rPr>
      <w:t>RWEdnesdays editorial working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Subtitle">
    <w:name w:val="Template Subtitle"/>
    <w:pPr>
      <w:spacing w:after="280"/>
    </w:pPr>
    <w:rPr>
      <w:rFonts w:ascii="Aptos" w:hAnsi="Aptos"/>
      <w:i/>
      <w:color w:val="50505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