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Unapproved Use Dossier — editorial working template</w:t>
      </w:r>
    </w:p>
    <w:p>
      <w:pPr>
        <w:pStyle w:val="TemplateSubtitle"/>
      </w:pPr>
      <w:r>
        <w:t>Editable Word working copy generated from the associated Markdown source. Complete bracketed fields and preserve the evidence, version, and review records.</w:t>
      </w:r>
    </w:p>
    <w:p>
      <w:pPr>
        <w:spacing w:after="160"/>
        <w:ind w:left="360"/>
      </w:pPr>
      <w:r>
        <w:rPr>
          <w:b/>
        </w:rPr>
        <w:t>For drafting only.</w:t>
      </w:r>
      <w:r>
        <w:t xml:space="preserve"> This original worksheet aligns to the C section family in AMCP Format 5.0 without reproducing AMCP text. It is not an AMCP form. Use it only for a use of an FDA-approved product for which FDA approval is being sought, and obtain internal legal/regulatory/compliance review before communication.</w:t>
      </w:r>
    </w:p>
    <w:p>
      <w:pPr>
        <w:pStyle w:val="Heading2"/>
      </w:pPr>
      <w:r>
        <w:t>Dossier control</w:t>
      </w:r>
    </w:p>
    <w:tbl>
      <w:tblPr>
        <w:tblStyle w:val="TableGrid"/>
        <w:tblW w:type="auto" w:w="0"/>
        <w:tblLayout w:type="autofit"/>
        <w:tblLook w:firstColumn="1" w:firstRow="1" w:lastColumn="0" w:lastRow="0" w:noHBand="0" w:noVBand="1" w:val="04A0"/>
      </w:tblPr>
      <w:tblGrid>
        <w:gridCol w:w="5040"/>
        <w:gridCol w:w="5040"/>
      </w:tblGrid>
      <w:tr>
        <w:trPr>
          <w:cantSplit/>
          <w:tblHeader w:val="true"/>
        </w:trPr>
        <w:tc>
          <w:tcPr>
            <w:tcW w:type="dxa" w:w="5040"/>
            <w:vAlign w:val="center"/>
            <w:tcMar>
              <w:top w:w="90" w:type="dxa"/>
              <w:start w:w="110" w:type="dxa"/>
              <w:bottom w:w="90" w:type="dxa"/>
              <w:end w:w="110" w:type="dxa"/>
            </w:tcMar>
            <w:shd w:fill="1F4E79"/>
          </w:tcPr>
          <w:p>
            <w:pPr>
              <w:spacing w:after="0" w:line="252" w:lineRule="auto"/>
            </w:pPr>
            <w:r>
              <w:rPr>
                <w:rFonts w:ascii="Aptos" w:hAnsi="Aptos"/>
                <w:b/>
                <w:color w:val="FFFFFF"/>
                <w:sz w:val="22"/>
              </w:rPr>
              <w:t>Field</w:t>
            </w:r>
          </w:p>
        </w:tc>
        <w:tc>
          <w:tcPr>
            <w:tcW w:type="dxa" w:w="5040"/>
            <w:vAlign w:val="center"/>
            <w:tcMar>
              <w:top w:w="90" w:type="dxa"/>
              <w:start w:w="110" w:type="dxa"/>
              <w:bottom w:w="90" w:type="dxa"/>
              <w:end w:w="110" w:type="dxa"/>
            </w:tcMar>
            <w:shd w:fill="1F4E79"/>
          </w:tcPr>
          <w:p>
            <w:pPr>
              <w:spacing w:after="0" w:line="252" w:lineRule="auto"/>
            </w:pPr>
            <w:r>
              <w:rPr>
                <w:rFonts w:ascii="Aptos" w:hAnsi="Aptos"/>
                <w:b/>
                <w:color w:val="FFFFFF"/>
                <w:sz w:val="22"/>
              </w:rPr>
              <w:t>Complete</w:t>
            </w:r>
          </w:p>
        </w:tc>
      </w:tr>
      <w:tr>
        <w:trPr>
          <w:cantSplit/>
        </w:trPr>
        <w:tc>
          <w:tcPr>
            <w:tcW w:type="dxa" w:w="5040"/>
            <w:vAlign w:val="center"/>
            <w:tcMar>
              <w:top w:w="90" w:type="dxa"/>
              <w:start w:w="110" w:type="dxa"/>
              <w:bottom w:w="90" w:type="dxa"/>
              <w:end w:w="110" w:type="dxa"/>
            </w:tcMar>
          </w:tcPr>
          <w:p>
            <w:pPr>
              <w:spacing w:after="0" w:line="252" w:lineRule="auto"/>
            </w:pPr>
            <w:r>
              <w:rPr>
                <w:rFonts w:ascii="Aptos" w:hAnsi="Aptos"/>
                <w:sz w:val="22"/>
              </w:rPr>
              <w:t>Approved product / sponsor</w:t>
            </w:r>
          </w:p>
        </w:tc>
        <w:tc>
          <w:tcPr>
            <w:tcW w:type="dxa" w:w="5040"/>
            <w:vAlign w:val="center"/>
            <w:tcMar>
              <w:top w:w="90" w:type="dxa"/>
              <w:start w:w="110" w:type="dxa"/>
              <w:bottom w:w="90" w:type="dxa"/>
              <w:end w:w="110" w:type="dxa"/>
            </w:tcMar>
          </w:tcPr>
          <w:p>
            <w:pPr>
              <w:spacing w:after="0" w:line="252" w:lineRule="auto"/>
            </w:pPr>
          </w:p>
        </w:tc>
      </w:tr>
      <w:tr>
        <w:trPr>
          <w:cantSplit/>
        </w:trPr>
        <w:tc>
          <w:tcPr>
            <w:tcW w:type="dxa" w:w="5040"/>
            <w:vAlign w:val="center"/>
            <w:tcMar>
              <w:top w:w="90" w:type="dxa"/>
              <w:start w:w="110" w:type="dxa"/>
              <w:bottom w:w="90" w:type="dxa"/>
              <w:end w:w="110" w:type="dxa"/>
            </w:tcMar>
            <w:shd w:fill="F2F6F9"/>
          </w:tcPr>
          <w:p>
            <w:pPr>
              <w:spacing w:after="0" w:line="252" w:lineRule="auto"/>
            </w:pPr>
            <w:r>
              <w:rPr>
                <w:rFonts w:ascii="Aptos" w:hAnsi="Aptos"/>
                <w:sz w:val="22"/>
              </w:rPr>
              <w:t>Existing approved indication(s) and label version</w:t>
            </w:r>
          </w:p>
        </w:tc>
        <w:tc>
          <w:tcPr>
            <w:tcW w:type="dxa" w:w="5040"/>
            <w:vAlign w:val="center"/>
            <w:tcMar>
              <w:top w:w="90" w:type="dxa"/>
              <w:start w:w="110" w:type="dxa"/>
              <w:bottom w:w="90" w:type="dxa"/>
              <w:end w:w="110" w:type="dxa"/>
            </w:tcMar>
            <w:shd w:fill="F2F6F9"/>
          </w:tcPr>
          <w:p>
            <w:pPr>
              <w:spacing w:after="0" w:line="252" w:lineRule="auto"/>
            </w:pPr>
          </w:p>
        </w:tc>
      </w:tr>
      <w:tr>
        <w:trPr>
          <w:cantSplit/>
        </w:trPr>
        <w:tc>
          <w:tcPr>
            <w:tcW w:type="dxa" w:w="5040"/>
            <w:vAlign w:val="center"/>
            <w:tcMar>
              <w:top w:w="90" w:type="dxa"/>
              <w:start w:w="110" w:type="dxa"/>
              <w:bottom w:w="90" w:type="dxa"/>
              <w:end w:w="110" w:type="dxa"/>
            </w:tcMar>
          </w:tcPr>
          <w:p>
            <w:pPr>
              <w:spacing w:after="0" w:line="252" w:lineRule="auto"/>
            </w:pPr>
            <w:r>
              <w:rPr>
                <w:rFonts w:ascii="Aptos" w:hAnsi="Aptos"/>
                <w:sz w:val="22"/>
              </w:rPr>
              <w:t>Specific unapproved use seeking FDA approval</w:t>
            </w:r>
          </w:p>
        </w:tc>
        <w:tc>
          <w:tcPr>
            <w:tcW w:type="dxa" w:w="5040"/>
            <w:vAlign w:val="center"/>
            <w:tcMar>
              <w:top w:w="90" w:type="dxa"/>
              <w:start w:w="110" w:type="dxa"/>
              <w:bottom w:w="90" w:type="dxa"/>
              <w:end w:w="110" w:type="dxa"/>
            </w:tcMar>
          </w:tcPr>
          <w:p>
            <w:pPr>
              <w:spacing w:after="0" w:line="252" w:lineRule="auto"/>
            </w:pPr>
          </w:p>
        </w:tc>
      </w:tr>
      <w:tr>
        <w:trPr>
          <w:cantSplit/>
        </w:trPr>
        <w:tc>
          <w:tcPr>
            <w:tcW w:type="dxa" w:w="5040"/>
            <w:vAlign w:val="center"/>
            <w:tcMar>
              <w:top w:w="90" w:type="dxa"/>
              <w:start w:w="110" w:type="dxa"/>
              <w:bottom w:w="90" w:type="dxa"/>
              <w:end w:w="110" w:type="dxa"/>
            </w:tcMar>
            <w:shd w:fill="F2F6F9"/>
          </w:tcPr>
          <w:p>
            <w:pPr>
              <w:spacing w:after="0" w:line="252" w:lineRule="auto"/>
            </w:pPr>
            <w:r>
              <w:rPr>
                <w:rFonts w:ascii="Aptos" w:hAnsi="Aptos"/>
                <w:sz w:val="22"/>
              </w:rPr>
              <w:t>Development / regulatory milestone status</w:t>
            </w:r>
          </w:p>
        </w:tc>
        <w:tc>
          <w:tcPr>
            <w:tcW w:type="dxa" w:w="5040"/>
            <w:vAlign w:val="center"/>
            <w:tcMar>
              <w:top w:w="90" w:type="dxa"/>
              <w:start w:w="110" w:type="dxa"/>
              <w:bottom w:w="90" w:type="dxa"/>
              <w:end w:w="110" w:type="dxa"/>
            </w:tcMar>
            <w:shd w:fill="F2F6F9"/>
          </w:tcPr>
          <w:p>
            <w:pPr>
              <w:spacing w:after="0" w:line="252" w:lineRule="auto"/>
            </w:pPr>
          </w:p>
        </w:tc>
      </w:tr>
      <w:tr>
        <w:trPr>
          <w:cantSplit/>
        </w:trPr>
        <w:tc>
          <w:tcPr>
            <w:tcW w:type="dxa" w:w="5040"/>
            <w:vAlign w:val="center"/>
            <w:tcMar>
              <w:top w:w="90" w:type="dxa"/>
              <w:start w:w="110" w:type="dxa"/>
              <w:bottom w:w="90" w:type="dxa"/>
              <w:end w:w="110" w:type="dxa"/>
            </w:tcMar>
          </w:tcPr>
          <w:p>
            <w:pPr>
              <w:spacing w:after="0" w:line="252" w:lineRule="auto"/>
            </w:pPr>
            <w:r>
              <w:rPr>
                <w:rFonts w:ascii="Aptos" w:hAnsi="Aptos"/>
                <w:sz w:val="22"/>
              </w:rPr>
              <w:t>Draft version / evidence cutoff / owner</w:t>
            </w:r>
          </w:p>
        </w:tc>
        <w:tc>
          <w:tcPr>
            <w:tcW w:type="dxa" w:w="5040"/>
            <w:vAlign w:val="center"/>
            <w:tcMar>
              <w:top w:w="90" w:type="dxa"/>
              <w:start w:w="110" w:type="dxa"/>
              <w:bottom w:w="90" w:type="dxa"/>
              <w:end w:w="110" w:type="dxa"/>
            </w:tcMar>
          </w:tcPr>
          <w:p>
            <w:pPr>
              <w:spacing w:after="0" w:line="252" w:lineRule="auto"/>
            </w:pPr>
          </w:p>
        </w:tc>
      </w:tr>
      <w:tr>
        <w:trPr>
          <w:cantSplit/>
        </w:trPr>
        <w:tc>
          <w:tcPr>
            <w:tcW w:type="dxa" w:w="5040"/>
            <w:vAlign w:val="center"/>
            <w:tcMar>
              <w:top w:w="90" w:type="dxa"/>
              <w:start w:w="110" w:type="dxa"/>
              <w:bottom w:w="90" w:type="dxa"/>
              <w:end w:w="110" w:type="dxa"/>
            </w:tcMar>
            <w:shd w:fill="F2F6F9"/>
          </w:tcPr>
          <w:p>
            <w:pPr>
              <w:spacing w:after="0" w:line="252" w:lineRule="auto"/>
            </w:pPr>
            <w:r>
              <w:rPr>
                <w:rFonts w:ascii="Aptos" w:hAnsi="Aptos"/>
                <w:sz w:val="22"/>
              </w:rPr>
              <w:t>Intended HCDM audience / communication pathway</w:t>
            </w:r>
          </w:p>
        </w:tc>
        <w:tc>
          <w:tcPr>
            <w:tcW w:type="dxa" w:w="5040"/>
            <w:vAlign w:val="center"/>
            <w:tcMar>
              <w:top w:w="90" w:type="dxa"/>
              <w:start w:w="110" w:type="dxa"/>
              <w:bottom w:w="90" w:type="dxa"/>
              <w:end w:w="110" w:type="dxa"/>
            </w:tcMar>
            <w:shd w:fill="F2F6F9"/>
          </w:tcPr>
          <w:p>
            <w:pPr>
              <w:spacing w:after="0" w:line="252" w:lineRule="auto"/>
            </w:pPr>
          </w:p>
        </w:tc>
      </w:tr>
      <w:tr>
        <w:trPr>
          <w:cantSplit/>
        </w:trPr>
        <w:tc>
          <w:tcPr>
            <w:tcW w:type="dxa" w:w="5040"/>
            <w:vAlign w:val="center"/>
            <w:tcMar>
              <w:top w:w="90" w:type="dxa"/>
              <w:start w:w="110" w:type="dxa"/>
              <w:bottom w:w="90" w:type="dxa"/>
              <w:end w:w="110" w:type="dxa"/>
            </w:tcMar>
          </w:tcPr>
          <w:p>
            <w:pPr>
              <w:spacing w:after="0" w:line="252" w:lineRule="auto"/>
            </w:pPr>
            <w:r>
              <w:rPr>
                <w:rFonts w:ascii="Aptos" w:hAnsi="Aptos"/>
                <w:sz w:val="22"/>
              </w:rPr>
              <w:t>Link to common instructions / evidence trace / change log</w:t>
            </w:r>
          </w:p>
        </w:tc>
        <w:tc>
          <w:tcPr>
            <w:tcW w:type="dxa" w:w="5040"/>
            <w:vAlign w:val="center"/>
            <w:tcMar>
              <w:top w:w="90" w:type="dxa"/>
              <w:start w:w="110" w:type="dxa"/>
              <w:bottom w:w="90" w:type="dxa"/>
              <w:end w:w="110" w:type="dxa"/>
            </w:tcMar>
          </w:tcPr>
          <w:p>
            <w:pPr>
              <w:spacing w:after="0" w:line="252" w:lineRule="auto"/>
            </w:pPr>
          </w:p>
        </w:tc>
      </w:tr>
    </w:tbl>
    <w:p/>
    <w:p>
      <w:r>
        <w:rPr>
          <w:b/>
        </w:rPr>
        <w:t>Scope rule:</w:t>
      </w:r>
      <w:r>
        <w:t xml:space="preserve"> Keep this dossier limited to the unapproved use(s) seeking FDA approval. Present factual, objective evidence. Do not characterize or conclude on safety or effectiveness for the unapproved use.</w:t>
      </w:r>
    </w:p>
    <w:p>
      <w:pPr>
        <w:pStyle w:val="Heading2"/>
      </w:pPr>
      <w:r>
        <w:t>1.0C — Highlights and overview</w:t>
      </w:r>
    </w:p>
    <w:p>
      <w:pPr>
        <w:pStyle w:val="ListBullet"/>
        <w:spacing w:after="60"/>
      </w:pPr>
      <w:r>
        <w:t>Approved product context (clearly distinct from the unapproved use):</w:t>
      </w:r>
    </w:p>
    <w:p>
      <w:pPr>
        <w:pStyle w:val="ListBullet"/>
        <w:spacing w:after="60"/>
      </w:pPr>
      <w:r>
        <w:t>Proposed unapproved use and development status:</w:t>
      </w:r>
    </w:p>
    <w:p>
      <w:pPr>
        <w:pStyle w:val="ListBullet"/>
        <w:spacing w:after="60"/>
      </w:pPr>
      <w:r>
        <w:t>Population, disease context, and anticipated care pathway:</w:t>
      </w:r>
    </w:p>
    <w:p>
      <w:pPr>
        <w:pStyle w:val="ListBullet"/>
        <w:spacing w:after="60"/>
      </w:pPr>
      <w:r>
        <w:t>Key factual clinical/economic information:</w:t>
      </w:r>
    </w:p>
    <w:p>
      <w:pPr>
        <w:pStyle w:val="ListBullet"/>
        <w:spacing w:after="60"/>
      </w:pPr>
      <w:r>
        <w:t>Projected price/access information, basis, and uncertainty:</w:t>
      </w:r>
    </w:p>
    <w:p>
      <w:pPr>
        <w:pStyle w:val="ListBullet"/>
        <w:spacing w:after="60"/>
      </w:pPr>
      <w:r>
        <w:t>Unapproved-use limitation:</w:t>
      </w:r>
    </w:p>
    <w:p>
      <w:pPr>
        <w:pStyle w:val="ListBullet"/>
        <w:spacing w:after="60"/>
      </w:pPr>
      <w:r>
        <w:t>Linked evidence IDs:</w:t>
      </w:r>
    </w:p>
    <w:p>
      <w:pPr>
        <w:pStyle w:val="Heading2"/>
      </w:pPr>
      <w:r>
        <w:t>2.0C — Product information and disease description</w:t>
      </w:r>
    </w:p>
    <w:p>
      <w:pPr>
        <w:pStyle w:val="Heading3"/>
      </w:pPr>
      <w:r>
        <w:t>2.1C Product information</w:t>
      </w:r>
    </w:p>
    <w:tbl>
      <w:tblPr>
        <w:tblStyle w:val="TableGrid"/>
        <w:tblW w:type="auto" w:w="0"/>
        <w:tblLayout w:type="autofit"/>
        <w:tblLook w:firstColumn="1" w:firstRow="1" w:lastColumn="0" w:lastRow="0" w:noHBand="0" w:noVBand="1" w:val="04A0"/>
      </w:tblPr>
      <w:tblGrid>
        <w:gridCol w:w="2520"/>
        <w:gridCol w:w="2520"/>
        <w:gridCol w:w="2520"/>
        <w:gridCol w:w="2520"/>
      </w:tblGrid>
      <w:tr>
        <w:trPr>
          <w:cantSplit/>
          <w:tblHeader w:val="true"/>
        </w:trPr>
        <w:tc>
          <w:tcPr>
            <w:tcW w:type="dxa" w:w="2520"/>
            <w:vAlign w:val="center"/>
            <w:tcMar>
              <w:top w:w="90" w:type="dxa"/>
              <w:start w:w="110" w:type="dxa"/>
              <w:bottom w:w="90" w:type="dxa"/>
              <w:end w:w="110" w:type="dxa"/>
            </w:tcMar>
            <w:shd w:fill="1F4E79"/>
          </w:tcPr>
          <w:p>
            <w:pPr>
              <w:spacing w:after="0" w:line="252" w:lineRule="auto"/>
            </w:pPr>
            <w:r>
              <w:rPr>
                <w:rFonts w:ascii="Aptos" w:hAnsi="Aptos"/>
                <w:b/>
                <w:color w:val="FFFFFF"/>
                <w:sz w:val="22"/>
              </w:rPr>
              <w:t>Topic</w:t>
            </w:r>
          </w:p>
        </w:tc>
        <w:tc>
          <w:tcPr>
            <w:tcW w:type="dxa" w:w="2520"/>
            <w:vAlign w:val="center"/>
            <w:tcMar>
              <w:top w:w="90" w:type="dxa"/>
              <w:start w:w="110" w:type="dxa"/>
              <w:bottom w:w="90" w:type="dxa"/>
              <w:end w:w="110" w:type="dxa"/>
            </w:tcMar>
            <w:shd w:fill="1F4E79"/>
          </w:tcPr>
          <w:p>
            <w:pPr>
              <w:spacing w:after="0" w:line="252" w:lineRule="auto"/>
            </w:pPr>
            <w:r>
              <w:rPr>
                <w:rFonts w:ascii="Aptos" w:hAnsi="Aptos"/>
                <w:b/>
                <w:color w:val="FFFFFF"/>
                <w:sz w:val="22"/>
              </w:rPr>
              <w:t>Current approved-product information</w:t>
            </w:r>
          </w:p>
        </w:tc>
        <w:tc>
          <w:tcPr>
            <w:tcW w:type="dxa" w:w="2520"/>
            <w:vAlign w:val="center"/>
            <w:tcMar>
              <w:top w:w="90" w:type="dxa"/>
              <w:start w:w="110" w:type="dxa"/>
              <w:bottom w:w="90" w:type="dxa"/>
              <w:end w:w="110" w:type="dxa"/>
            </w:tcMar>
            <w:shd w:fill="1F4E79"/>
          </w:tcPr>
          <w:p>
            <w:pPr>
              <w:spacing w:after="0" w:line="252" w:lineRule="auto"/>
            </w:pPr>
            <w:r>
              <w:rPr>
                <w:rFonts w:ascii="Aptos" w:hAnsi="Aptos"/>
                <w:b/>
                <w:color w:val="FFFFFF"/>
                <w:sz w:val="22"/>
              </w:rPr>
              <w:t>Proposed-use information (factual / status labeled)</w:t>
            </w:r>
          </w:p>
        </w:tc>
        <w:tc>
          <w:tcPr>
            <w:tcW w:type="dxa" w:w="2520"/>
            <w:vAlign w:val="center"/>
            <w:tcMar>
              <w:top w:w="90" w:type="dxa"/>
              <w:start w:w="110" w:type="dxa"/>
              <w:bottom w:w="90" w:type="dxa"/>
              <w:end w:w="110" w:type="dxa"/>
            </w:tcMar>
            <w:shd w:fill="1F4E79"/>
          </w:tcPr>
          <w:p>
            <w:pPr>
              <w:spacing w:after="0" w:line="252" w:lineRule="auto"/>
            </w:pPr>
            <w:r>
              <w:rPr>
                <w:rFonts w:ascii="Aptos" w:hAnsi="Aptos"/>
                <w:b/>
                <w:color w:val="FFFFFF"/>
                <w:sz w:val="22"/>
              </w:rPr>
              <w:t>Evidence ID</w:t>
            </w:r>
          </w:p>
        </w:tc>
      </w:tr>
      <w:tr>
        <w:trPr>
          <w:cantSplit/>
        </w:trPr>
        <w:tc>
          <w:tcPr>
            <w:tcW w:type="dxa" w:w="2520"/>
            <w:vAlign w:val="center"/>
            <w:tcMar>
              <w:top w:w="90" w:type="dxa"/>
              <w:start w:w="110" w:type="dxa"/>
              <w:bottom w:w="90" w:type="dxa"/>
              <w:end w:w="110" w:type="dxa"/>
            </w:tcMar>
          </w:tcPr>
          <w:p>
            <w:pPr>
              <w:spacing w:after="0" w:line="252" w:lineRule="auto"/>
            </w:pPr>
            <w:r>
              <w:rPr>
                <w:rFonts w:ascii="Aptos" w:hAnsi="Aptos"/>
                <w:sz w:val="22"/>
              </w:rPr>
              <w:t>Product / class / mechanism</w:t>
            </w: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r>
      <w:tr>
        <w:trPr>
          <w:cantSplit/>
        </w:trPr>
        <w:tc>
          <w:tcPr>
            <w:tcW w:type="dxa" w:w="2520"/>
            <w:vAlign w:val="center"/>
            <w:tcMar>
              <w:top w:w="90" w:type="dxa"/>
              <w:start w:w="110" w:type="dxa"/>
              <w:bottom w:w="90" w:type="dxa"/>
              <w:end w:w="110" w:type="dxa"/>
            </w:tcMar>
            <w:shd w:fill="F2F6F9"/>
          </w:tcPr>
          <w:p>
            <w:pPr>
              <w:spacing w:after="0" w:line="252" w:lineRule="auto"/>
            </w:pPr>
            <w:r>
              <w:rPr>
                <w:rFonts w:ascii="Aptos" w:hAnsi="Aptos"/>
                <w:sz w:val="22"/>
              </w:rPr>
              <w:t>Approved use(s) / label context</w:t>
            </w:r>
          </w:p>
        </w:tc>
        <w:tc>
          <w:tcPr>
            <w:tcW w:type="dxa" w:w="2520"/>
            <w:vAlign w:val="center"/>
            <w:tcMar>
              <w:top w:w="90" w:type="dxa"/>
              <w:start w:w="110" w:type="dxa"/>
              <w:bottom w:w="90" w:type="dxa"/>
              <w:end w:w="110" w:type="dxa"/>
            </w:tcMar>
            <w:shd w:fill="F2F6F9"/>
          </w:tcPr>
          <w:p>
            <w:pPr>
              <w:spacing w:after="0" w:line="252" w:lineRule="auto"/>
            </w:pPr>
          </w:p>
        </w:tc>
        <w:tc>
          <w:tcPr>
            <w:tcW w:type="dxa" w:w="2520"/>
            <w:vAlign w:val="center"/>
            <w:tcMar>
              <w:top w:w="90" w:type="dxa"/>
              <w:start w:w="110" w:type="dxa"/>
              <w:bottom w:w="90" w:type="dxa"/>
              <w:end w:w="110" w:type="dxa"/>
            </w:tcMar>
            <w:shd w:fill="F2F6F9"/>
          </w:tcPr>
          <w:p>
            <w:pPr>
              <w:spacing w:after="0" w:line="252" w:lineRule="auto"/>
            </w:pPr>
          </w:p>
        </w:tc>
        <w:tc>
          <w:tcPr>
            <w:tcW w:type="dxa" w:w="2520"/>
            <w:vAlign w:val="center"/>
            <w:tcMar>
              <w:top w:w="90" w:type="dxa"/>
              <w:start w:w="110" w:type="dxa"/>
              <w:bottom w:w="90" w:type="dxa"/>
              <w:end w:w="110" w:type="dxa"/>
            </w:tcMar>
            <w:shd w:fill="F2F6F9"/>
          </w:tcPr>
          <w:p>
            <w:pPr>
              <w:spacing w:after="0" w:line="252" w:lineRule="auto"/>
            </w:pPr>
          </w:p>
        </w:tc>
      </w:tr>
      <w:tr>
        <w:trPr>
          <w:cantSplit/>
        </w:trPr>
        <w:tc>
          <w:tcPr>
            <w:tcW w:type="dxa" w:w="2520"/>
            <w:vAlign w:val="center"/>
            <w:tcMar>
              <w:top w:w="90" w:type="dxa"/>
              <w:start w:w="110" w:type="dxa"/>
              <w:bottom w:w="90" w:type="dxa"/>
              <w:end w:w="110" w:type="dxa"/>
            </w:tcMar>
          </w:tcPr>
          <w:p>
            <w:pPr>
              <w:spacing w:after="0" w:line="252" w:lineRule="auto"/>
            </w:pPr>
            <w:r>
              <w:rPr>
                <w:rFonts w:ascii="Aptos" w:hAnsi="Aptos"/>
                <w:sz w:val="22"/>
              </w:rPr>
              <w:t>Unapproved use under review</w:t>
            </w: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r>
      <w:tr>
        <w:trPr>
          <w:cantSplit/>
        </w:trPr>
        <w:tc>
          <w:tcPr>
            <w:tcW w:type="dxa" w:w="2520"/>
            <w:vAlign w:val="center"/>
            <w:tcMar>
              <w:top w:w="90" w:type="dxa"/>
              <w:start w:w="110" w:type="dxa"/>
              <w:bottom w:w="90" w:type="dxa"/>
              <w:end w:w="110" w:type="dxa"/>
            </w:tcMar>
            <w:shd w:fill="F2F6F9"/>
          </w:tcPr>
          <w:p>
            <w:pPr>
              <w:spacing w:after="0" w:line="252" w:lineRule="auto"/>
            </w:pPr>
            <w:r>
              <w:rPr>
                <w:rFonts w:ascii="Aptos" w:hAnsi="Aptos"/>
                <w:sz w:val="22"/>
              </w:rPr>
              <w:t>Administration / site of care</w:t>
            </w:r>
          </w:p>
        </w:tc>
        <w:tc>
          <w:tcPr>
            <w:tcW w:type="dxa" w:w="2520"/>
            <w:vAlign w:val="center"/>
            <w:tcMar>
              <w:top w:w="90" w:type="dxa"/>
              <w:start w:w="110" w:type="dxa"/>
              <w:bottom w:w="90" w:type="dxa"/>
              <w:end w:w="110" w:type="dxa"/>
            </w:tcMar>
            <w:shd w:fill="F2F6F9"/>
          </w:tcPr>
          <w:p>
            <w:pPr>
              <w:spacing w:after="0" w:line="252" w:lineRule="auto"/>
            </w:pPr>
          </w:p>
        </w:tc>
        <w:tc>
          <w:tcPr>
            <w:tcW w:type="dxa" w:w="2520"/>
            <w:vAlign w:val="center"/>
            <w:tcMar>
              <w:top w:w="90" w:type="dxa"/>
              <w:start w:w="110" w:type="dxa"/>
              <w:bottom w:w="90" w:type="dxa"/>
              <w:end w:w="110" w:type="dxa"/>
            </w:tcMar>
            <w:shd w:fill="F2F6F9"/>
          </w:tcPr>
          <w:p>
            <w:pPr>
              <w:spacing w:after="0" w:line="252" w:lineRule="auto"/>
            </w:pPr>
          </w:p>
        </w:tc>
        <w:tc>
          <w:tcPr>
            <w:tcW w:type="dxa" w:w="2520"/>
            <w:vAlign w:val="center"/>
            <w:tcMar>
              <w:top w:w="90" w:type="dxa"/>
              <w:start w:w="110" w:type="dxa"/>
              <w:bottom w:w="90" w:type="dxa"/>
              <w:end w:w="110" w:type="dxa"/>
            </w:tcMar>
            <w:shd w:fill="F2F6F9"/>
          </w:tcPr>
          <w:p>
            <w:pPr>
              <w:spacing w:after="0" w:line="252" w:lineRule="auto"/>
            </w:pPr>
          </w:p>
        </w:tc>
      </w:tr>
      <w:tr>
        <w:trPr>
          <w:cantSplit/>
        </w:trPr>
        <w:tc>
          <w:tcPr>
            <w:tcW w:type="dxa" w:w="2520"/>
            <w:vAlign w:val="center"/>
            <w:tcMar>
              <w:top w:w="90" w:type="dxa"/>
              <w:start w:w="110" w:type="dxa"/>
              <w:bottom w:w="90" w:type="dxa"/>
              <w:end w:w="110" w:type="dxa"/>
            </w:tcMar>
          </w:tcPr>
          <w:p>
            <w:pPr>
              <w:spacing w:after="0" w:line="252" w:lineRule="auto"/>
            </w:pPr>
            <w:r>
              <w:rPr>
                <w:rFonts w:ascii="Aptos" w:hAnsi="Aptos"/>
                <w:sz w:val="22"/>
              </w:rPr>
              <w:t>Development program / milestones</w:t>
            </w: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c>
          <w:tcPr>
            <w:tcW w:type="dxa" w:w="2520"/>
            <w:vAlign w:val="center"/>
            <w:tcMar>
              <w:top w:w="90" w:type="dxa"/>
              <w:start w:w="110" w:type="dxa"/>
              <w:bottom w:w="90" w:type="dxa"/>
              <w:end w:w="110" w:type="dxa"/>
            </w:tcMar>
          </w:tcPr>
          <w:p>
            <w:pPr>
              <w:spacing w:after="0" w:line="252" w:lineRule="auto"/>
            </w:pPr>
          </w:p>
        </w:tc>
      </w:tr>
    </w:tbl>
    <w:p/>
    <w:p>
      <w:pPr>
        <w:pStyle w:val="Heading3"/>
      </w:pPr>
      <w:r>
        <w:t>2.2C Disease description</w:t>
      </w:r>
    </w:p>
    <w:tbl>
      <w:tblPr>
        <w:tblStyle w:val="TableGrid"/>
        <w:tblW w:type="auto" w:w="0"/>
        <w:tblLayout w:type="autofit"/>
        <w:tblLook w:firstColumn="1" w:firstRow="1" w:lastColumn="0" w:lastRow="0" w:noHBand="0" w:noVBand="1" w:val="04A0"/>
      </w:tblPr>
      <w:tblGrid>
        <w:gridCol w:w="3360"/>
        <w:gridCol w:w="3360"/>
        <w:gridCol w:w="3360"/>
      </w:tblGrid>
      <w:tr>
        <w:trPr>
          <w:cantSplit/>
          <w:tblHeader w:val="true"/>
        </w:trPr>
        <w:tc>
          <w:tcPr>
            <w:tcW w:type="dxa" w:w="3360"/>
            <w:vAlign w:val="center"/>
            <w:tcMar>
              <w:top w:w="90" w:type="dxa"/>
              <w:start w:w="110" w:type="dxa"/>
              <w:bottom w:w="90" w:type="dxa"/>
              <w:end w:w="110" w:type="dxa"/>
            </w:tcMar>
            <w:shd w:fill="1F4E79"/>
          </w:tcPr>
          <w:p>
            <w:pPr>
              <w:spacing w:after="0" w:line="252" w:lineRule="auto"/>
            </w:pPr>
            <w:r>
              <w:rPr>
                <w:rFonts w:ascii="Aptos" w:hAnsi="Aptos"/>
                <w:b/>
                <w:color w:val="FFFFFF"/>
                <w:sz w:val="22"/>
              </w:rPr>
              <w:t>Topic</w:t>
            </w:r>
          </w:p>
        </w:tc>
        <w:tc>
          <w:tcPr>
            <w:tcW w:type="dxa" w:w="3360"/>
            <w:vAlign w:val="center"/>
            <w:tcMar>
              <w:top w:w="90" w:type="dxa"/>
              <w:start w:w="110" w:type="dxa"/>
              <w:bottom w:w="90" w:type="dxa"/>
              <w:end w:w="110" w:type="dxa"/>
            </w:tcMar>
            <w:shd w:fill="1F4E79"/>
          </w:tcPr>
          <w:p>
            <w:pPr>
              <w:spacing w:after="0" w:line="252" w:lineRule="auto"/>
            </w:pPr>
            <w:r>
              <w:rPr>
                <w:rFonts w:ascii="Aptos" w:hAnsi="Aptos"/>
                <w:b/>
                <w:color w:val="FFFFFF"/>
                <w:sz w:val="22"/>
              </w:rPr>
              <w:t>Target population / unmet need</w:t>
            </w:r>
          </w:p>
        </w:tc>
        <w:tc>
          <w:tcPr>
            <w:tcW w:type="dxa" w:w="3360"/>
            <w:vAlign w:val="center"/>
            <w:tcMar>
              <w:top w:w="90" w:type="dxa"/>
              <w:start w:w="110" w:type="dxa"/>
              <w:bottom w:w="90" w:type="dxa"/>
              <w:end w:w="110" w:type="dxa"/>
            </w:tcMar>
            <w:shd w:fill="1F4E79"/>
          </w:tcPr>
          <w:p>
            <w:pPr>
              <w:spacing w:after="0" w:line="252" w:lineRule="auto"/>
            </w:pPr>
            <w:r>
              <w:rPr>
                <w:rFonts w:ascii="Aptos" w:hAnsi="Aptos"/>
                <w:b/>
                <w:color w:val="FFFFFF"/>
                <w:sz w:val="22"/>
              </w:rPr>
              <w:t>Evidence ID</w:t>
            </w:r>
          </w:p>
        </w:tc>
      </w:tr>
      <w:tr>
        <w:trPr>
          <w:cantSplit/>
        </w:trPr>
        <w:tc>
          <w:tcPr>
            <w:tcW w:type="dxa" w:w="3360"/>
            <w:vAlign w:val="center"/>
            <w:tcMar>
              <w:top w:w="90" w:type="dxa"/>
              <w:start w:w="110" w:type="dxa"/>
              <w:bottom w:w="90" w:type="dxa"/>
              <w:end w:w="110" w:type="dxa"/>
            </w:tcMar>
          </w:tcPr>
          <w:p>
            <w:pPr>
              <w:spacing w:after="0" w:line="252" w:lineRule="auto"/>
            </w:pPr>
            <w:r>
              <w:rPr>
                <w:rFonts w:ascii="Aptos" w:hAnsi="Aptos"/>
                <w:sz w:val="22"/>
              </w:rPr>
              <w:t>Epidemiology / burden</w:t>
            </w:r>
          </w:p>
        </w:tc>
        <w:tc>
          <w:tcPr>
            <w:tcW w:type="dxa" w:w="3360"/>
            <w:vAlign w:val="center"/>
            <w:tcMar>
              <w:top w:w="90" w:type="dxa"/>
              <w:start w:w="110" w:type="dxa"/>
              <w:bottom w:w="90" w:type="dxa"/>
              <w:end w:w="110" w:type="dxa"/>
            </w:tcMar>
          </w:tcPr>
          <w:p>
            <w:pPr>
              <w:spacing w:after="0" w:line="252" w:lineRule="auto"/>
            </w:pPr>
          </w:p>
        </w:tc>
        <w:tc>
          <w:tcPr>
            <w:tcW w:type="dxa" w:w="3360"/>
            <w:vAlign w:val="center"/>
            <w:tcMar>
              <w:top w:w="90" w:type="dxa"/>
              <w:start w:w="110" w:type="dxa"/>
              <w:bottom w:w="90" w:type="dxa"/>
              <w:end w:w="110" w:type="dxa"/>
            </w:tcMar>
          </w:tcPr>
          <w:p>
            <w:pPr>
              <w:spacing w:after="0" w:line="252" w:lineRule="auto"/>
            </w:pPr>
          </w:p>
        </w:tc>
      </w:tr>
      <w:tr>
        <w:trPr>
          <w:cantSplit/>
        </w:trPr>
        <w:tc>
          <w:tcPr>
            <w:tcW w:type="dxa" w:w="3360"/>
            <w:vAlign w:val="center"/>
            <w:tcMar>
              <w:top w:w="90" w:type="dxa"/>
              <w:start w:w="110" w:type="dxa"/>
              <w:bottom w:w="90" w:type="dxa"/>
              <w:end w:w="110" w:type="dxa"/>
            </w:tcMar>
            <w:shd w:fill="F2F6F9"/>
          </w:tcPr>
          <w:p>
            <w:pPr>
              <w:spacing w:after="0" w:line="252" w:lineRule="auto"/>
            </w:pPr>
            <w:r>
              <w:rPr>
                <w:rFonts w:ascii="Aptos" w:hAnsi="Aptos"/>
                <w:sz w:val="22"/>
              </w:rPr>
              <w:t>Current treatment pathway</w:t>
            </w:r>
          </w:p>
        </w:tc>
        <w:tc>
          <w:tcPr>
            <w:tcW w:type="dxa" w:w="3360"/>
            <w:vAlign w:val="center"/>
            <w:tcMar>
              <w:top w:w="90" w:type="dxa"/>
              <w:start w:w="110" w:type="dxa"/>
              <w:bottom w:w="90" w:type="dxa"/>
              <w:end w:w="110" w:type="dxa"/>
            </w:tcMar>
            <w:shd w:fill="F2F6F9"/>
          </w:tcPr>
          <w:p>
            <w:pPr>
              <w:spacing w:after="0" w:line="252" w:lineRule="auto"/>
            </w:pPr>
          </w:p>
        </w:tc>
        <w:tc>
          <w:tcPr>
            <w:tcW w:type="dxa" w:w="3360"/>
            <w:vAlign w:val="center"/>
            <w:tcMar>
              <w:top w:w="90" w:type="dxa"/>
              <w:start w:w="110" w:type="dxa"/>
              <w:bottom w:w="90" w:type="dxa"/>
              <w:end w:w="110" w:type="dxa"/>
            </w:tcMar>
            <w:shd w:fill="F2F6F9"/>
          </w:tcPr>
          <w:p>
            <w:pPr>
              <w:spacing w:after="0" w:line="252" w:lineRule="auto"/>
            </w:pPr>
          </w:p>
        </w:tc>
      </w:tr>
      <w:tr>
        <w:trPr>
          <w:cantSplit/>
        </w:trPr>
        <w:tc>
          <w:tcPr>
            <w:tcW w:type="dxa" w:w="3360"/>
            <w:vAlign w:val="center"/>
            <w:tcMar>
              <w:top w:w="90" w:type="dxa"/>
              <w:start w:w="110" w:type="dxa"/>
              <w:bottom w:w="90" w:type="dxa"/>
              <w:end w:w="110" w:type="dxa"/>
            </w:tcMar>
          </w:tcPr>
          <w:p>
            <w:pPr>
              <w:spacing w:after="0" w:line="252" w:lineRule="auto"/>
            </w:pPr>
            <w:r>
              <w:rPr>
                <w:rFonts w:ascii="Aptos" w:hAnsi="Aptos"/>
                <w:sz w:val="22"/>
              </w:rPr>
              <w:t>Comparator landscape</w:t>
            </w:r>
          </w:p>
        </w:tc>
        <w:tc>
          <w:tcPr>
            <w:tcW w:type="dxa" w:w="3360"/>
            <w:vAlign w:val="center"/>
            <w:tcMar>
              <w:top w:w="90" w:type="dxa"/>
              <w:start w:w="110" w:type="dxa"/>
              <w:bottom w:w="90" w:type="dxa"/>
              <w:end w:w="110" w:type="dxa"/>
            </w:tcMar>
          </w:tcPr>
          <w:p>
            <w:pPr>
              <w:spacing w:after="0" w:line="252" w:lineRule="auto"/>
            </w:pPr>
          </w:p>
        </w:tc>
        <w:tc>
          <w:tcPr>
            <w:tcW w:type="dxa" w:w="3360"/>
            <w:vAlign w:val="center"/>
            <w:tcMar>
              <w:top w:w="90" w:type="dxa"/>
              <w:start w:w="110" w:type="dxa"/>
              <w:bottom w:w="90" w:type="dxa"/>
              <w:end w:w="110" w:type="dxa"/>
            </w:tcMar>
          </w:tcPr>
          <w:p>
            <w:pPr>
              <w:spacing w:after="0" w:line="252" w:lineRule="auto"/>
            </w:pPr>
          </w:p>
        </w:tc>
      </w:tr>
      <w:tr>
        <w:trPr>
          <w:cantSplit/>
        </w:trPr>
        <w:tc>
          <w:tcPr>
            <w:tcW w:type="dxa" w:w="3360"/>
            <w:vAlign w:val="center"/>
            <w:tcMar>
              <w:top w:w="90" w:type="dxa"/>
              <w:start w:w="110" w:type="dxa"/>
              <w:bottom w:w="90" w:type="dxa"/>
              <w:end w:w="110" w:type="dxa"/>
            </w:tcMar>
            <w:shd w:fill="F2F6F9"/>
          </w:tcPr>
          <w:p>
            <w:pPr>
              <w:spacing w:after="0" w:line="252" w:lineRule="auto"/>
            </w:pPr>
            <w:r>
              <w:rPr>
                <w:rFonts w:ascii="Aptos" w:hAnsi="Aptos"/>
                <w:sz w:val="22"/>
              </w:rPr>
              <w:t>Equity / access considerations</w:t>
            </w:r>
          </w:p>
        </w:tc>
        <w:tc>
          <w:tcPr>
            <w:tcW w:type="dxa" w:w="3360"/>
            <w:vAlign w:val="center"/>
            <w:tcMar>
              <w:top w:w="90" w:type="dxa"/>
              <w:start w:w="110" w:type="dxa"/>
              <w:bottom w:w="90" w:type="dxa"/>
              <w:end w:w="110" w:type="dxa"/>
            </w:tcMar>
            <w:shd w:fill="F2F6F9"/>
          </w:tcPr>
          <w:p>
            <w:pPr>
              <w:spacing w:after="0" w:line="252" w:lineRule="auto"/>
            </w:pPr>
          </w:p>
        </w:tc>
        <w:tc>
          <w:tcPr>
            <w:tcW w:type="dxa" w:w="3360"/>
            <w:vAlign w:val="center"/>
            <w:tcMar>
              <w:top w:w="90" w:type="dxa"/>
              <w:start w:w="110" w:type="dxa"/>
              <w:bottom w:w="90" w:type="dxa"/>
              <w:end w:w="110" w:type="dxa"/>
            </w:tcMar>
            <w:shd w:fill="F2F6F9"/>
          </w:tcPr>
          <w:p>
            <w:pPr>
              <w:spacing w:after="0" w:line="252" w:lineRule="auto"/>
            </w:pPr>
          </w:p>
        </w:tc>
      </w:tr>
    </w:tbl>
    <w:p/>
    <w:p>
      <w:pPr>
        <w:pStyle w:val="Heading2"/>
      </w:pPr>
      <w:r>
        <w:t>3.0C — Clinical evidence</w:t>
      </w:r>
    </w:p>
    <w:tbl>
      <w:tblPr>
        <w:tblStyle w:val="TableGrid"/>
        <w:tblW w:type="auto" w:w="0"/>
        <w:tblLayout w:type="autofit"/>
        <w:tblLook w:firstColumn="1" w:firstRow="1" w:lastColumn="0" w:lastRow="0" w:noHBand="0" w:noVBand="1" w:val="04A0"/>
      </w:tblPr>
      <w:tblGrid>
        <w:gridCol w:w="2016"/>
        <w:gridCol w:w="2016"/>
        <w:gridCol w:w="2016"/>
        <w:gridCol w:w="2016"/>
        <w:gridCol w:w="2016"/>
      </w:tblGrid>
      <w:tr>
        <w:trPr>
          <w:cantSplit/>
          <w:tblHeader w:val="true"/>
        </w:trPr>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Evidence ID</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Study / status</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Population / comparator</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Endpoint / result</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Limitation / maturity</w:t>
            </w:r>
          </w:p>
        </w:tc>
      </w:tr>
      <w:tr>
        <w:trPr>
          <w:cantSplit/>
        </w:trPr>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r>
      <w:tr>
        <w:trPr>
          <w:cantSplit/>
        </w:trPr>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r>
      <w:tr>
        <w:trPr>
          <w:cantSplit/>
        </w:trPr>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r>
    </w:tbl>
    <w:p/>
    <w:p>
      <w:pPr>
        <w:pStyle w:val="ListBullet"/>
        <w:spacing w:after="60"/>
      </w:pPr>
      <w:r>
        <w:t>Completed, ongoing, and planned studies (separate and status-labeled):</w:t>
      </w:r>
    </w:p>
    <w:p>
      <w:pPr>
        <w:pStyle w:val="ListBullet"/>
        <w:spacing w:after="60"/>
      </w:pPr>
      <w:r>
        <w:t>RWE relevance and limitations:</w:t>
      </w:r>
    </w:p>
    <w:p>
      <w:pPr>
        <w:pStyle w:val="ListBullet"/>
        <w:spacing w:after="60"/>
      </w:pPr>
      <w:r>
        <w:t>ITC/NMA record: review provenance, network, assumptions, certainty, and claim boundary:</w:t>
      </w:r>
    </w:p>
    <w:p>
      <w:pPr>
        <w:pStyle w:val="ListBullet"/>
        <w:spacing w:after="60"/>
      </w:pPr>
      <w:r>
        <w:t>What evidence is unavailable:</w:t>
      </w:r>
    </w:p>
    <w:p>
      <w:pPr>
        <w:pStyle w:val="Heading2"/>
      </w:pPr>
      <w:r>
        <w:t>4.0C — Economic value and modeling report</w:t>
      </w:r>
    </w:p>
    <w:p>
      <w:r>
        <w:t>Include cost-effectiveness or budget-impact models only when available and suitable for preapproval communication. Such models may be infeasible to construct or communicate before approval because they depend on assumptions about unapproved safety or effectiveness. If unavailable or unsuitable, record that status and the reason; do not manufacture a result. Model inclusion requires the applicable legal, regulatory, and compliance review.</w:t>
      </w:r>
    </w:p>
    <w:tbl>
      <w:tblPr>
        <w:tblStyle w:val="TableGrid"/>
        <w:tblW w:type="auto" w:w="0"/>
        <w:tblLayout w:type="autofit"/>
        <w:tblLook w:firstColumn="1" w:firstRow="1" w:lastColumn="0" w:lastRow="0" w:noHBand="0" w:noVBand="1" w:val="04A0"/>
      </w:tblPr>
      <w:tblGrid>
        <w:gridCol w:w="2016"/>
        <w:gridCol w:w="2016"/>
        <w:gridCol w:w="2016"/>
        <w:gridCol w:w="2016"/>
        <w:gridCol w:w="2016"/>
      </w:tblGrid>
      <w:tr>
        <w:trPr>
          <w:cantSplit/>
          <w:tblHeader w:val="true"/>
        </w:trPr>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Topic</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Input / result</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Approved/current vs projected/pending status</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Uncertainty / scenario</w:t>
            </w:r>
          </w:p>
        </w:tc>
        <w:tc>
          <w:tcPr>
            <w:tcW w:type="dxa" w:w="2016"/>
            <w:vAlign w:val="center"/>
            <w:tcMar>
              <w:top w:w="90" w:type="dxa"/>
              <w:start w:w="110" w:type="dxa"/>
              <w:bottom w:w="90" w:type="dxa"/>
              <w:end w:w="110" w:type="dxa"/>
            </w:tcMar>
            <w:shd w:fill="1F4E79"/>
          </w:tcPr>
          <w:p>
            <w:pPr>
              <w:spacing w:after="0" w:line="252" w:lineRule="auto"/>
            </w:pPr>
            <w:r>
              <w:rPr>
                <w:rFonts w:ascii="Aptos" w:hAnsi="Aptos"/>
                <w:b/>
                <w:color w:val="FFFFFF"/>
                <w:sz w:val="22"/>
              </w:rPr>
              <w:t>Evidence ID</w:t>
            </w:r>
          </w:p>
        </w:tc>
      </w:tr>
      <w:tr>
        <w:trPr>
          <w:cantSplit/>
        </w:trPr>
        <w:tc>
          <w:tcPr>
            <w:tcW w:type="dxa" w:w="2016"/>
            <w:vAlign w:val="center"/>
            <w:tcMar>
              <w:top w:w="90" w:type="dxa"/>
              <w:start w:w="110" w:type="dxa"/>
              <w:bottom w:w="90" w:type="dxa"/>
              <w:end w:w="110" w:type="dxa"/>
            </w:tcMar>
          </w:tcPr>
          <w:p>
            <w:pPr>
              <w:spacing w:after="0" w:line="252" w:lineRule="auto"/>
            </w:pPr>
            <w:r>
              <w:rPr>
                <w:rFonts w:ascii="Aptos" w:hAnsi="Aptos"/>
                <w:sz w:val="22"/>
              </w:rPr>
              <w:t>Disease / treatment cost context</w:t>
            </w: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r>
      <w:tr>
        <w:trPr>
          <w:cantSplit/>
        </w:trPr>
        <w:tc>
          <w:tcPr>
            <w:tcW w:type="dxa" w:w="2016"/>
            <w:vAlign w:val="center"/>
            <w:tcMar>
              <w:top w:w="90" w:type="dxa"/>
              <w:start w:w="110" w:type="dxa"/>
              <w:bottom w:w="90" w:type="dxa"/>
              <w:end w:w="110" w:type="dxa"/>
            </w:tcMar>
            <w:shd w:fill="F2F6F9"/>
          </w:tcPr>
          <w:p>
            <w:pPr>
              <w:spacing w:after="0" w:line="252" w:lineRule="auto"/>
            </w:pPr>
            <w:r>
              <w:rPr>
                <w:rFonts w:ascii="Aptos" w:hAnsi="Aptos"/>
                <w:sz w:val="22"/>
              </w:rPr>
              <w:t>Cost-effectiveness / value model</w:t>
            </w: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r>
      <w:tr>
        <w:trPr>
          <w:cantSplit/>
        </w:trPr>
        <w:tc>
          <w:tcPr>
            <w:tcW w:type="dxa" w:w="2016"/>
            <w:vAlign w:val="center"/>
            <w:tcMar>
              <w:top w:w="90" w:type="dxa"/>
              <w:start w:w="110" w:type="dxa"/>
              <w:bottom w:w="90" w:type="dxa"/>
              <w:end w:w="110" w:type="dxa"/>
            </w:tcMar>
          </w:tcPr>
          <w:p>
            <w:pPr>
              <w:spacing w:after="0" w:line="252" w:lineRule="auto"/>
            </w:pPr>
            <w:r>
              <w:rPr>
                <w:rFonts w:ascii="Aptos" w:hAnsi="Aptos"/>
                <w:sz w:val="22"/>
              </w:rPr>
              <w:t>Budget-impact / uptake assumptions</w:t>
            </w: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c>
          <w:tcPr>
            <w:tcW w:type="dxa" w:w="2016"/>
            <w:vAlign w:val="center"/>
            <w:tcMar>
              <w:top w:w="90" w:type="dxa"/>
              <w:start w:w="110" w:type="dxa"/>
              <w:bottom w:w="90" w:type="dxa"/>
              <w:end w:w="110" w:type="dxa"/>
            </w:tcMar>
          </w:tcPr>
          <w:p>
            <w:pPr>
              <w:spacing w:after="0" w:line="252" w:lineRule="auto"/>
            </w:pPr>
          </w:p>
        </w:tc>
      </w:tr>
      <w:tr>
        <w:trPr>
          <w:cantSplit/>
        </w:trPr>
        <w:tc>
          <w:tcPr>
            <w:tcW w:type="dxa" w:w="2016"/>
            <w:vAlign w:val="center"/>
            <w:tcMar>
              <w:top w:w="90" w:type="dxa"/>
              <w:start w:w="110" w:type="dxa"/>
              <w:bottom w:w="90" w:type="dxa"/>
              <w:end w:w="110" w:type="dxa"/>
            </w:tcMar>
            <w:shd w:fill="F2F6F9"/>
          </w:tcPr>
          <w:p>
            <w:pPr>
              <w:spacing w:after="0" w:line="252" w:lineRule="auto"/>
            </w:pPr>
            <w:r>
              <w:rPr>
                <w:rFonts w:ascii="Aptos" w:hAnsi="Aptos"/>
                <w:sz w:val="22"/>
              </w:rPr>
              <w:t>Model validation and technical documentation</w:t>
            </w: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c>
          <w:tcPr>
            <w:tcW w:type="dxa" w:w="2016"/>
            <w:vAlign w:val="center"/>
            <w:tcMar>
              <w:top w:w="90" w:type="dxa"/>
              <w:start w:w="110" w:type="dxa"/>
              <w:bottom w:w="90" w:type="dxa"/>
              <w:end w:w="110" w:type="dxa"/>
            </w:tcMar>
            <w:shd w:fill="F2F6F9"/>
          </w:tcPr>
          <w:p>
            <w:pPr>
              <w:spacing w:after="0" w:line="252" w:lineRule="auto"/>
            </w:pPr>
          </w:p>
        </w:tc>
      </w:tr>
    </w:tbl>
    <w:p/>
    <w:p>
      <w:pPr>
        <w:pStyle w:val="Heading2"/>
      </w:pPr>
      <w:r>
        <w:t>5.0C — Additional supporting evidence</w:t>
      </w:r>
    </w:p>
    <w:p>
      <w:pPr>
        <w:pStyle w:val="ListBullet"/>
        <w:spacing w:after="60"/>
      </w:pPr>
      <w:r>
        <w:t>Clinical guidelines, HTAs, and systematic reviews:</w:t>
      </w:r>
    </w:p>
    <w:p>
      <w:pPr>
        <w:pStyle w:val="ListBullet"/>
        <w:spacing w:after="60"/>
      </w:pPr>
      <w:r>
        <w:t>Other outcomes/economic evidence:</w:t>
      </w:r>
    </w:p>
    <w:p>
      <w:pPr>
        <w:pStyle w:val="ListBullet"/>
        <w:spacing w:after="60"/>
      </w:pPr>
      <w:r>
        <w:t>PRO, patient-experience, health-disparity, and quality-measure evidence:</w:t>
      </w:r>
    </w:p>
    <w:p>
      <w:pPr>
        <w:pStyle w:val="ListBullet"/>
        <w:spacing w:after="60"/>
      </w:pPr>
      <w:r>
        <w:t>Information held unavailable and reason:</w:t>
      </w:r>
    </w:p>
    <w:p>
      <w:pPr>
        <w:pStyle w:val="Heading2"/>
      </w:pPr>
      <w:r>
        <w:t>6.0C — Dossier appendices</w:t>
      </w:r>
    </w:p>
    <w:p>
      <w:pPr>
        <w:pStyle w:val="ListBullet"/>
        <w:spacing w:after="60"/>
      </w:pPr>
      <w:r>
        <w:t>☐ References and evidence tables</w:t>
      </w:r>
    </w:p>
    <w:p>
      <w:pPr>
        <w:pStyle w:val="ListBullet"/>
        <w:spacing w:after="60"/>
      </w:pPr>
      <w:r>
        <w:t>☐ Study summaries / protocols / SAPs as permitted</w:t>
      </w:r>
    </w:p>
    <w:p>
      <w:pPr>
        <w:pStyle w:val="ListBullet"/>
        <w:spacing w:after="60"/>
      </w:pPr>
      <w:r>
        <w:t>☐ Economic-model documentation and input provenance</w:t>
      </w:r>
    </w:p>
    <w:p>
      <w:pPr>
        <w:pStyle w:val="ListBullet"/>
        <w:spacing w:after="60"/>
      </w:pPr>
      <w:r>
        <w:t>☐ Current product information, clearly distinct from proposed-use material</w:t>
      </w:r>
    </w:p>
    <w:p>
      <w:pPr>
        <w:pStyle w:val="ListBullet"/>
        <w:spacing w:after="60"/>
      </w:pPr>
      <w:r>
        <w:t>☐ Change log and distribution record</w:t>
      </w:r>
    </w:p>
    <w:p>
      <w:pPr>
        <w:pStyle w:val="Heading2"/>
      </w:pPr>
      <w:r>
        <w:t>Lifecycle action</w:t>
      </w:r>
    </w:p>
    <w:p>
      <w:pPr>
        <w:pStyle w:val="ListBullet"/>
        <w:spacing w:after="60"/>
      </w:pPr>
      <w:r>
        <w:t>On FDA approval of the use: preserve this version, update the Approved Product Dossier, and retire this C dossier for the use (or revise a multi-use C dossier).</w:t>
      </w:r>
    </w:p>
    <w:p>
      <w:pPr>
        <w:pStyle w:val="ListBullet"/>
        <w:spacing w:after="60"/>
      </w:pPr>
      <w:r>
        <w:t>If the use remains unapproved: update factual evidence/status only through documented change control.</w:t>
      </w:r>
    </w:p>
    <w:p>
      <w:pPr>
        <w:pStyle w:val="Heading2"/>
      </w:pPr>
      <w:r>
        <w:t>Final internal check</w:t>
      </w:r>
    </w:p>
    <w:p>
      <w:pPr>
        <w:pStyle w:val="ListBullet"/>
        <w:spacing w:after="60"/>
      </w:pPr>
      <w:r>
        <w:t>☐ The unapproved use, not the approved product generally, is the subject of each claim.</w:t>
      </w:r>
    </w:p>
    <w:p>
      <w:pPr>
        <w:pStyle w:val="ListBullet"/>
        <w:spacing w:after="60"/>
      </w:pPr>
      <w:r>
        <w:t>☐ Projected/pending information is separated from approved/current product information.</w:t>
      </w:r>
    </w:p>
    <w:p>
      <w:pPr>
        <w:pStyle w:val="ListBullet"/>
        <w:spacing w:after="60"/>
      </w:pPr>
      <w:r>
        <w:t>☐ No safety/effectiveness conclusion is made for the unapproved use.</w:t>
      </w:r>
    </w:p>
    <w:p>
      <w:pPr>
        <w:pStyle w:val="ListBullet"/>
        <w:spacing w:after="60"/>
      </w:pPr>
      <w:r>
        <w:t>☐ The complete dossier was reviewed against official AMCP Format 5.0.</w:t>
      </w:r>
    </w:p>
    <w:sectPr w:rsidR="00FC693F" w:rsidRPr="0006063C" w:rsidSect="00034616">
      <w:headerReference w:type="default" r:id="rId9"/>
      <w:footerReference w:type="default" r:id="rId10"/>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Unapproved Use Dossier — editorial working template  |  Generated 2026-10-31  |  Markdown source remains authoritative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A5A5A"/>
        <w:sz w:val="16"/>
      </w:rPr>
      <w:t>RWEdnesdays editorial working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Subtitle">
    <w:name w:val="Template Subtitle"/>
    <w:pPr>
      <w:spacing w:after="280"/>
    </w:pPr>
    <w:rPr>
      <w:rFonts w:ascii="Aptos" w:hAnsi="Aptos"/>
      <w:i/>
      <w:color w:val="50505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