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9A3412"/>
          <w:sz w:val="40"/>
        </w:rPr>
        <w:t>HEOR Study Table Shells</w:t>
      </w:r>
    </w:p>
    <w:p>
      <w:pPr>
        <w:spacing w:after="280"/>
      </w:pPr>
      <w:r>
        <w:rPr>
          <w:rFonts w:ascii="Calibri" w:hAnsi="Calibri"/>
          <w:i/>
          <w:color w:val="595959"/>
          <w:sz w:val="24"/>
        </w:rPr>
        <w:t>RWEdnesdays — retrospective database study reporting templates</w:t>
      </w:r>
    </w:p>
    <w:p>
      <w:pPr>
        <w:spacing w:after="200"/>
      </w:pPr>
      <w:r>
        <w:rPr>
          <w:rFonts w:ascii="Calibri" w:hAnsi="Calibri"/>
          <w:sz w:val="22"/>
        </w:rPr>
        <w:t>This document provides empty, publication-ready table shells for a standard retrospective health economics and outcomes research (HEOR) database study. Each shell defines the rows, columns, and footnote structure a study team can drop directly into a protocol, statistical analysis plan (SAP), or final study report. Populate the placeholder cells (shown as XX.X or XXX (XX.X)) with study results; do not alter row or column structure without updating the corresponding SAP section.</w:t>
      </w:r>
    </w:p>
    <w:p>
      <w:pPr>
        <w:spacing w:before="120" w:after="80"/>
      </w:pPr>
      <w:r>
        <w:rPr>
          <w:rFonts w:ascii="Calibri" w:hAnsi="Calibri"/>
          <w:b/>
          <w:color w:val="9A3412"/>
          <w:sz w:val="24"/>
        </w:rPr>
        <w:t>How to use these shells</w:t>
      </w:r>
    </w:p>
    <w:p>
      <w:pPr>
        <w:pStyle w:val="ListBullet"/>
        <w:spacing w:after="80"/>
      </w:pPr>
      <w:r>
        <w:rPr>
          <w:rFonts w:ascii="Calibri" w:hAnsi="Calibri"/>
          <w:sz w:val="22"/>
        </w:rPr>
        <w:t>Pre-specify every table in the SAP before analysis begins, including exact row and column definitions.</w:t>
      </w:r>
    </w:p>
    <w:p>
      <w:pPr>
        <w:pStyle w:val="ListBullet"/>
        <w:spacing w:after="80"/>
      </w:pPr>
      <w:r>
        <w:rPr>
          <w:rFonts w:ascii="Calibri" w:hAnsi="Calibri"/>
          <w:sz w:val="22"/>
        </w:rPr>
        <w:t>Keep masking rules consistent — suppress or mask any cell with a small underlying count per the study's cell-size policy.</w:t>
      </w:r>
    </w:p>
    <w:p>
      <w:pPr>
        <w:pStyle w:val="ListBullet"/>
        <w:spacing w:after="80"/>
      </w:pPr>
      <w:r>
        <w:rPr>
          <w:rFonts w:ascii="Calibri" w:hAnsi="Calibri"/>
          <w:sz w:val="22"/>
        </w:rPr>
        <w:t>Report standardized mean difference (SMD) for baseline balance, not p-values, since p-values are sensitive to sample size.</w:t>
      </w:r>
    </w:p>
    <w:p>
      <w:pPr>
        <w:pStyle w:val="ListBullet"/>
        <w:spacing w:after="80"/>
      </w:pPr>
      <w:r>
        <w:rPr>
          <w:rFonts w:ascii="Calibri" w:hAnsi="Calibri"/>
          <w:sz w:val="22"/>
        </w:rPr>
        <w:t>Use per-patient-per-month (PPPM) rates to normalize utilization and cost across patients with variable follow-up time.</w:t>
      </w:r>
    </w:p>
    <w:p>
      <w:pPr>
        <w:pStyle w:val="ListBullet"/>
        <w:spacing w:after="80"/>
      </w:pPr>
      <w:r>
        <w:rPr>
          <w:rFonts w:ascii="Calibri" w:hAnsi="Calibri"/>
          <w:sz w:val="22"/>
        </w:rPr>
        <w:t>Prefer confidence intervals over p-values where possible — they convey effect size and precision, not just statistical significance.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1. Cohort selection and attrition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Selection criterion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N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% of previous step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% of initial population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Source population (all patients in database, study period)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100.0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Qualifying diagnosis or index drug during identification period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Age ≥18 years at index dateᵃ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≥12 months continuous enrollment pre-indexᵇ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No qualifying exclusion diagnosis during baseline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No prior use of index drug/procedure (washout satisfied)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≥6 months follow-up or death during follow-up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Final analytic cohort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XXX,XXX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Index date is defined as the date of the first qualifying diagnosis, drug dispensing, or procedure claim meeting all cohort-entry criteria during the identification period.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A gap in enrollment of ≤30 days is permitted within the required continuous-enrollment window and is not treated as a break in continuous enrollment.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N, number.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2. Baseline demographic characteristics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404"/>
        <w:gridCol w:w="1404"/>
        <w:gridCol w:w="1404"/>
        <w:gridCol w:w="1404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Characteristic</w:t>
            </w:r>
          </w:p>
        </w:tc>
        <w:tc>
          <w:tcPr>
            <w:tcW w:type="dxa" w:w="140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Overall (N=X,XXX)</w:t>
            </w:r>
          </w:p>
        </w:tc>
        <w:tc>
          <w:tcPr>
            <w:tcW w:type="dxa" w:w="140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40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  <w:tc>
          <w:tcPr>
            <w:tcW w:type="dxa" w:w="140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SMD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Age, years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Mean (SD)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Median (IQR)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(XX.X–XX.X)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(XX.X–XX.X)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(XX.X–XX.X)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18–44 years,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45–64 years,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≥65 years,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Female,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Race/ethnicity,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White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Black or African American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Hispanic or Latino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Asian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Other/unknown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Geographic region,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Northeast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Midwest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South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West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Payer type,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Commercial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Medicare Advantage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Medicaid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Index year, n (%)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20XX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20XX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404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Standardized mean difference (SMD) &gt;0.10 flags a meaningful imbalance between cohorts; SMD is reported in place of p-values per pre-specified SAP convention.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Cell counts &lt;11 are masked (reported as "&lt;11") consistent with the data source's small-cell-size policy.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IQR, interquartile range; N, number; SD, standard deviation; SMD, standardized mean difference.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3. Baseline clinical characteristics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Characteristic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Overall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Quan-Charlson Comorbidity Index (CCI)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0,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1,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2,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≥3,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Elixhauser comorbidity count,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Baseline comorbidities,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Hypertension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Type 2 diabetes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Chronic kidney disease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Congestive heart failure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Chronic obstructive pulmonary disease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Obesity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Depression/anxiety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Coronary artery disease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Baseline medication use,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Antihypertensives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Statins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Antidiabetic agents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Opioid analgesics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Baseline all-cause total costs,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Comorbidities and the Quan-Charlson Comorbidity Index are identified using ICD-10-CM diagnosis codes per the Quan (2005) coding algorithm.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All baseline characteristics are assessed over the 12-month period immediately preceding the index date.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CCI, Charlson Comorbidity Index; ICD-10-CM, International Classification of Diseases, 10th Revision, Clinical Modification; N, number; SD, standard deviation.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4. All-cause health care resource utilization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Utilization category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P value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Inpatient hospitalization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admission,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Admissions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Admissions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Length of stay per admission (days),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Emergency department visits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visit,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Office/outpatient visits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visit,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Other outpatient services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encounter,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Encounters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Encounters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Pharmacy fills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fill,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Fills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Fills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PPPM (per-patient-per-month) rates are calculated as the total count of events divided by total patient-months of follow-up, normalizing for variable follow-up duration.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ED, emergency department; LOS, length of stay; N, number; PPPM, per patient per month; SD, standard deviation.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5. Disease-specific health care resource utilization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Utilization category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P value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inpatient hospitalization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admission,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Admissions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Admissions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emergency department visits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visit,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office/outpatient visits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visit,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Visits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other outpatient services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encounter,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Encounters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Encounters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pharmacy fills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≥1 fill,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Fills per 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 (X.X)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Fills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X.XXX (X.XXX)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Disease-specific encounters require the study diagnosis in the primary position on the claim; disease-specific pharmacy fills are identified using a pre-specified drug list.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PPPM (per-patient-per-month) rates are calculated as the total count of events divided by total patient-months of follow-up.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ED, emergency department; N, number; PPPM, per patient per month; SD, standard deviation.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6. All-cause health care costs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Cost category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P value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Total all-cause costs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Median (IQR)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(X,XXX–XX,XXX)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(X,XXX–XX,XXX)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Medical costs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Inpatient,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Emergency department,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Office/outpatient,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Other medical,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Medical costs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Pharmacy costs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Median (IQR)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(XXX–X,XXX)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(XXX–X,XXX)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Costs reflect paid (allowed) amounts and are adjusted to 2025 US dollars using the medical care component of the Consumer Price Index (CPI).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Costs are reported from the payer perspective and exclude patient out-of-pocket costs unless otherwise specified.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IQR, interquartile range; N, number; PPPM, per patient per month; SD, standard deviation.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7. Disease-specific health care costs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Cost category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P value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Total disease-specific costs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Median (IQR)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(X,XXX–XX,XXX)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(X,XXX–XX,XXX)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medical costs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Inpatient,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$XX,XXX (XX,XXX)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Emergency department,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Office/outpatient,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Other medical,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Medical costs 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Disease-specific pharmacy costs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$X,XXX (X,XXX)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Median (IQR)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(XXX–X,XXX)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(XXX–X,XXX)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PPPM, mean (SD)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 (XXX)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Disease-specific costs are limited to claims with the study diagnosis in the primary position or drugs on the pre-specified disease-specific drug list.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Costs reflect paid (allowed) amounts and are adjusted to 2025 US dollars using the medical care component of the Consumer Price Index (CPI); reported from the payer perspective.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IQR, interquartile range; N, number; PPPM, per patient per month; SD, standard deviation.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8. Adjusted analyses of costs and utilization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Outcome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Estimate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95% CI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P value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Panel A. Generalized linear model (gamma distribution, log link)ᵃ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Total costs, cost ratio exp(β)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X.XX–X.XX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Medical costs, cost ratio exp(β)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X.XX–X.XX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Pharmacy costs, cost ratio exp(β)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X.XX–X.XX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Panel B. Two-part modelᵇ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Part 1: probability of any cost, odds ratio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X.XX–X.XX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Part 2: cost among users, cost ratio exp(β)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X.XX–X.XX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Predicted adjusted PPPM — Cohort A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$XXX–$XXX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Predicted adjusted PPPM — Cohort B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$XXX–$XXX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Model fit (link function and distributional assumption) is confirmed using the modified Park test prior to finalizing the gamma log-link specification.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Both models adjust for the pre-specified covariate list: age, sex, region, payer type, index year, Quan-Charlson Comorbidity Index, and baseline all-cause costs.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c</w:t>
      </w:r>
      <w:r>
        <w:rPr>
          <w:rFonts w:ascii="Calibri" w:hAnsi="Calibri"/>
          <w:color w:val="595959"/>
          <w:sz w:val="16"/>
        </w:rPr>
        <w:t xml:space="preserve"> Predicted adjusted PPPM values are estimated as margins over the covariate distribution; 95% confidence intervals are derived using bootstrap or delta-method standard errors as pre-specified in the SAP.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CI, confidence interval; PPPM, per patient per month; SAP, statistical analysis plan.</w:t>
      </w:r>
    </w:p>
    <w:p>
      <w:r>
        <w:br w:type="page"/>
      </w:r>
    </w:p>
    <w:p>
      <w:pPr>
        <w:pStyle w:val="Heading2"/>
        <w:keepNext/>
        <w:spacing w:before="280" w:after="120"/>
      </w:pPr>
      <w:r>
        <w:rPr>
          <w:rFonts w:ascii="Calibri" w:hAnsi="Calibri"/>
          <w:b/>
          <w:color w:val="9A3412"/>
          <w:sz w:val="24"/>
        </w:rPr>
        <w:t>Table 9. Time-to-event (survival) analysis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744"/>
        <w:gridCol w:w="1872"/>
        <w:gridCol w:w="1872"/>
        <w:gridCol w:w="1872"/>
      </w:tblGrid>
      <w:tr>
        <w:trPr>
          <w:tblHeader w:val="true"/>
        </w:trPr>
        <w:tc>
          <w:tcPr>
            <w:tcW w:type="dxa" w:w="3744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Outcome measure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A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Cohort B (N=X,XXX)</w:t>
            </w:r>
          </w:p>
        </w:tc>
        <w:tc>
          <w:tcPr>
            <w:tcW w:type="dxa" w:w="1872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P value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Events,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Censored, n (%)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XXX (XX.X)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Median time to event, months (95% CI)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(XX.X–XX.X)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XX.X (XX.X–XX.X)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Event-free probability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6 months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 (0.XX–0.XX)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 (0.XX–0.XX)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12 months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 (0.XX–0.XX)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 (0.XX–0.XX)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pPr>
              <w:ind w:left="360"/>
            </w:pPr>
            <w:r/>
            <w:r>
              <w:rPr>
                <w:rFonts w:ascii="Calibri" w:hAnsi="Calibri"/>
                <w:b w:val="0"/>
                <w:sz w:val="20"/>
              </w:rPr>
              <w:t>24 months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 (0.XX–0.XX)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 (0.XX–0.XX)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—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Unadjusted hazard ratio (95% CI)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Reference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 (X.XX–X.XX)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  <w:tr>
        <w:tc>
          <w:tcPr>
            <w:tcW w:type="dxa" w:w="3744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 w:val="0"/>
                <w:sz w:val="20"/>
              </w:rPr>
              <w:t>Adjusted hazard ratio (95% CI)ᵃ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Reference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X.XX (X.XX–X.XX)</w:t>
            </w:r>
          </w:p>
        </w:tc>
        <w:tc>
          <w:tcPr>
            <w:tcW w:type="dxa" w:w="1872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b w:val="0"/>
                <w:sz w:val="20"/>
              </w:rPr>
              <w:t>0.XXX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Adjusted hazard ratio is estimated from a Cox proportional hazards model controlling for the pre-specified covariate list.</w:t>
      </w:r>
    </w:p>
    <w:p>
      <w:pPr>
        <w:spacing w:before="80" w:after="200"/>
      </w:pPr>
      <w:r>
        <w:rPr>
          <w:rFonts w:ascii="Calibri" w:hAnsi="Calibri"/>
          <w:b/>
          <w:color w:val="595959"/>
          <w:sz w:val="16"/>
        </w:rPr>
        <w:t xml:space="preserve">Abbreviations: </w:t>
      </w:r>
      <w:r>
        <w:rPr>
          <w:rFonts w:ascii="Calibri" w:hAnsi="Calibri"/>
          <w:color w:val="595959"/>
          <w:sz w:val="16"/>
        </w:rPr>
        <w:t>CI, confidence interval; N, number.</w:t>
      </w:r>
    </w:p>
    <w:p/>
    <w:p>
      <w:pPr>
        <w:keepNext/>
        <w:spacing w:before="280" w:after="120"/>
      </w:pPr>
      <w:r>
        <w:rPr>
          <w:rFonts w:ascii="Calibri" w:hAnsi="Calibri"/>
          <w:b/>
          <w:color w:val="9A3412"/>
          <w:sz w:val="22"/>
        </w:rPr>
        <w:t>Figure 1. Kaplan-Meier curve (shell)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rPr>
          <w:trHeight w:val="5760" w:hRule="atLeast"/>
        </w:trPr>
        <w:tc>
          <w:tcPr>
            <w:tcW w:type="dxa" w:w="9360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>
            <w:pPr>
              <w:jc w:val="center"/>
            </w:pPr>
            <w:r>
              <w:rPr>
                <w:rFonts w:ascii="Calibri" w:hAnsi="Calibri"/>
                <w:i/>
                <w:color w:val="595959"/>
                <w:sz w:val="20"/>
              </w:rPr>
              <w:t>[Insert KM figure: survival probability (y, 0-1.0) vs months from index (x); include number-at-risk table below axes; mark censoring ticks]</w:t>
            </w:r>
          </w:p>
        </w:tc>
      </w:tr>
    </w:tbl>
    <w:p/>
    <w:p>
      <w:pPr>
        <w:spacing w:before="80" w:after="80"/>
      </w:pPr>
      <w:r>
        <w:rPr>
          <w:rFonts w:ascii="Calibri" w:hAnsi="Calibri"/>
          <w:b/>
          <w:color w:val="9A3412"/>
          <w:sz w:val="20"/>
        </w:rPr>
        <w:t>Numbers at risk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tblHeader w:val="true"/>
        </w:trPr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Months</w:t>
            </w:r>
          </w:p>
        </w:tc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0</w:t>
            </w:r>
          </w:p>
        </w:tc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6</w:t>
            </w:r>
          </w:p>
        </w:tc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12</w:t>
            </w:r>
          </w:p>
        </w:tc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18</w:t>
            </w:r>
          </w:p>
        </w:tc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24</w:t>
            </w:r>
          </w:p>
        </w:tc>
        <w:tc>
          <w:tcPr>
            <w:tcW w:type="dxa" w:w="1337"/>
            <w:shd w:val="clear" w:color="auto" w:fill="FCEEE6"/>
            <w:tcBorders>
              <w:bottom w:val="single" w:sz="12" w:space="0" w:color="9A3412"/>
            </w:tcBorders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9A3412"/>
                <w:sz w:val="20"/>
              </w:rPr>
              <w:t>30</w:t>
            </w:r>
          </w:p>
        </w:tc>
      </w:tr>
      <w:tr>
        <w:tc>
          <w:tcPr>
            <w:tcW w:type="dxa" w:w="1337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Cohort A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</w:tr>
      <w:tr>
        <w:tc>
          <w:tcPr>
            <w:tcW w:type="dxa" w:w="1337"/>
            <w:tcBorders>
              <w:bottom w:val="single" w:sz="4" w:space="0" w:color="BFBFBF"/>
            </w:tcBorders>
          </w:tcPr>
          <w:p>
            <w:r/>
            <w:r>
              <w:rPr>
                <w:rFonts w:ascii="Calibri" w:hAnsi="Calibri"/>
                <w:b/>
                <w:sz w:val="20"/>
              </w:rPr>
              <w:t>Cohort B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  <w:tc>
          <w:tcPr>
            <w:tcW w:type="dxa" w:w="1337"/>
            <w:tcBorders>
              <w:bottom w:val="single" w:sz="4" w:space="0" w:color="BFBFBF"/>
            </w:tcBorders>
          </w:tcPr>
          <w:p>
            <w:pPr>
              <w:jc w:val="right"/>
            </w:pPr>
            <w:r/>
            <w:r>
              <w:rPr>
                <w:rFonts w:ascii="Calibri" w:hAnsi="Calibri"/>
                <w:sz w:val="20"/>
              </w:rPr>
              <w:t>XXX</w:t>
            </w:r>
          </w:p>
        </w:tc>
      </w:tr>
    </w:tbl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a</w:t>
      </w:r>
      <w:r>
        <w:rPr>
          <w:rFonts w:ascii="Calibri" w:hAnsi="Calibri"/>
          <w:color w:val="595959"/>
          <w:sz w:val="16"/>
        </w:rPr>
        <w:t xml:space="preserve"> Patients without an observed event are censored at end of follow-up, disenrollment, or study end, whichever occurs first.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b</w:t>
      </w:r>
      <w:r>
        <w:rPr>
          <w:rFonts w:ascii="Calibri" w:hAnsi="Calibri"/>
          <w:color w:val="595959"/>
          <w:sz w:val="16"/>
        </w:rPr>
        <w:t xml:space="preserve"> Between-group comparison of survival curves is tested using the log-rank test.</w:t>
      </w:r>
    </w:p>
    <w:p>
      <w:pPr>
        <w:spacing w:before="40" w:after="40"/>
      </w:pPr>
      <w:r>
        <w:rPr>
          <w:rFonts w:ascii="Calibri" w:hAnsi="Calibri"/>
          <w:color w:val="595959"/>
          <w:sz w:val="16"/>
          <w:vertAlign w:val="superscript"/>
        </w:rPr>
        <w:t>c</w:t>
      </w:r>
      <w:r>
        <w:rPr>
          <w:rFonts w:ascii="Calibri" w:hAnsi="Calibri"/>
          <w:color w:val="595959"/>
          <w:sz w:val="16"/>
        </w:rPr>
        <w:t xml:space="preserve"> The proportional hazards (PH) assumption for the Cox model is evaluated using Schoenfeld residuals.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9A341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