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Descriptive RWE protocol</w:t>
      </w:r>
    </w:p>
    <w:p>
      <w:pPr>
        <w:pStyle w:val="TemplateSubtitle"/>
      </w:pPr>
      <w:r>
        <w:t>Editable Word working copy generated from the associated Markdown source. Complete bracketed fields and preserve the evidence, version, and review records.</w:t>
      </w:r>
    </w:p>
    <w:p>
      <w:r>
        <w:t>Use this original working template for incidence, prevalence, treatment patterns, healthcare utilization, or burden-of-illness description. It is not a causal treatment-effect protocol. Plan reporting with STROBE and RECORD; add RECORD-PE for pharmacoepidemiology. These are reporting guidelines, not official protocol templates or method-quality scores.</w:t>
      </w:r>
    </w:p>
    <w:p>
      <w:pPr>
        <w:pStyle w:val="Heading2"/>
      </w:pPr>
      <w:r>
        <w:t>Objective and target quantity</w:t>
      </w:r>
    </w:p>
    <w:p>
      <w:r>
        <w:t>Decision or knowledge gap: [complete]. Target population and setting: [complete]. Primary descriptive quantity: [incidence rate, cumulative incidence, point/period prevalence, utilization rate, cost, treatment sequence, or another explicitly defined measure]. State units, calendar period, follow-up horizon, and intended population of inference.</w:t>
      </w:r>
    </w:p>
    <w:p>
      <w:r>
        <w:t>Numerator: [definition]. Denominator: [people, persons at risk, person-time, eligible episodes, member-months, or another justified unit]. Define whether recurrent events are included, how episodes are separated, and which population exclusions apply. A rate, risk, and prevalence are different quantities; use the measure the data and follow-up support.</w:t>
      </w:r>
    </w:p>
    <w:p>
      <w:pPr>
        <w:pStyle w:val="Heading2"/>
      </w:pPr>
      <w:r>
        <w:t>Design and observable population</w:t>
      </w:r>
    </w:p>
    <w:p>
      <w:r>
        <w:t>Select the appropriate cross-sectional, incident cohort, prevalent cohort, or repeated cross-sectional design and justify it. Define index dates, prevalent-case handling, incident-case washout, observation requirements, follow-up termination, and calendar-time strata. Explain the implications of changing enrollment or provider participation.</w:t>
      </w:r>
    </w:p>
    <w:p>
      <w:r>
        <w:t>Identify source population, database coverage, and study sample. Specify claims/EHR/registry versions, extract date, completeness, lag, linkage, and capture outside the network. For a national estimate from a selected source, justify sampling weights or standardization and quantify the limits of extrapolation.</w:t>
      </w:r>
    </w:p>
    <w:p>
      <w:pPr>
        <w:pStyle w:val="Heading2"/>
      </w:pPr>
      <w:r>
        <w:t>Operational definitions</w:t>
      </w:r>
    </w:p>
    <w:p>
      <w:r>
        <w:t>Provide code lists, algorithm versions, unit normalization, encounter deduplication, validity evidence, and missingness rules. State which absence of recording means unknown. Validate dates, impossible sequences, repeated events, and enrollment denominators before analysis.</w:t>
      </w:r>
    </w:p>
    <w:p>
      <w:r>
        <w:t>For treatment patterns, define initiation, discontinuation, switching, combination therapy, gaps, and sequences. For costs, distinguish billed, allowed, paid, and patient-paid amounts; state perspective, currency year, price adjustment, incomplete adjudication, and any imputation. Describe how zero cost differs from unobserved cost.</w:t>
      </w:r>
    </w:p>
    <w:p>
      <w:pPr>
        <w:pStyle w:val="Heading2"/>
      </w:pPr>
      <w:r>
        <w:t>Analysis and uncertainty</w:t>
      </w:r>
    </w:p>
    <w:p>
      <w:r>
        <w:t>Define summary statistics and uncertainty appropriate to the measure, including skewed costs and recurrent events. Address variable follow-up, mortality/competing events, clustering, repeated observations, and missing data. Specify standardized vs crude estimates, reference population, age bands or other strata, and small-cell disclosure rules.</w:t>
      </w:r>
    </w:p>
    <w:p>
      <w:r>
        <w:t>Trend and subgroup analyses: [hypotheses, grouping, denominator, interaction/description approach]. Sensitivity analyses: [alternative case definitions, washout, observability, or capture assumptions]. Any adjusted association remains an association unless a separate causal question and design are justified.</w:t>
      </w:r>
    </w:p>
    <w:p>
      <w:r>
        <w:t>Precision justification: [minimum useful precision and expected denominators/events from a documented feasibility source]. Planned figures and shells: [attrition, denominator accounting, characteristics, rates, uncertainty, and missingness]. Record anticipated limitations and which groups may be systematically excluded.</w:t>
      </w:r>
    </w:p>
    <w:p>
      <w:pPr>
        <w:pStyle w:val="Heading2"/>
      </w:pPr>
      <w:r>
        <w:t>Guidance crosswalk</w:t>
      </w:r>
    </w:p>
    <w:p>
      <w:r>
        <w:t xml:space="preserve">STROBE covers final observational reporting: </w:t>
      </w:r>
      <w:hyperlink r:id="rId11">
        <w:r>
          <w:rPr>
            <w:color w:val="0563C1"/>
            <w:u w:val="single"/>
          </w:rPr>
          <w:t>https://doi.org/10.1371/journal.pmed.0040296</w:t>
        </w:r>
      </w:hyperlink>
      <w:r>
        <w:t>.</w:t>
      </w:r>
    </w:p>
    <w:p>
      <w:r>
        <w:t xml:space="preserve">RECORD adds routine-data transparency: </w:t>
      </w:r>
      <w:hyperlink r:id="rId12">
        <w:r>
          <w:rPr>
            <w:color w:val="0563C1"/>
            <w:u w:val="single"/>
          </w:rPr>
          <w:t>https://doi.org/10.1371/journal.pmed.1001885</w:t>
        </w:r>
      </w:hyperlink>
      <w:r>
        <w:t>.</w:t>
      </w:r>
    </w:p>
    <w:p>
      <w:r>
        <w:t xml:space="preserve">RECORD-PE is relevant to drug-utilization work: </w:t>
      </w:r>
      <w:hyperlink r:id="rId13">
        <w:r>
          <w:rPr>
            <w:color w:val="0563C1"/>
            <w:u w:val="single"/>
          </w:rPr>
          <w:t>https://doi.org/10.1136/bmj.k3532</w:t>
        </w:r>
      </w:hyperlink>
      <w:r>
        <w:t>.</w:t>
      </w:r>
    </w:p>
    <w:p>
      <w:r>
        <w:t>Map applicable reporting domains to the planned protocol sections and implementation artifacts. Mark causal-effect-only domains not applicable with a reason; do not force a propensity-score analysis into a descriptive study.</w:t>
      </w:r>
    </w:p>
    <w:p>
      <w:pPr>
        <w:pStyle w:val="Heading2"/>
      </w:pPr>
      <w:r>
        <w:t>Document control and review</w:t>
      </w:r>
    </w:p>
    <w:p>
      <w:r>
        <w:t>Study title: [complete]. Sponsor and scientific lead: [complete]. Protocol ID and version: [complete]. Evidence cutoff and data cutoff: [complete]. Intended audience and jurisdiction: [complete]. Status: working draft for review.</w:t>
      </w:r>
    </w:p>
    <w:p>
      <w:r>
        <w:t>Record whether investigators have accessed aggregate feasibility results, treatment-specific outcomes, or individual records, with dates. Distinguish feasibility-informed decisions from decisions made before any outcome inspection. Keep the original specification and a dated amendment log.</w:t>
      </w:r>
    </w:p>
    <w:p>
      <w:r>
        <w:t>Decision owner and approval date: [complete]. Unresolved decisions: [list with consequence, owner, and due date]. Ethics, privacy, data-use permissions, registration, funding, conflicts, patient involvement, and dissemination: [complete or justify not applicable]. Do not infer consent, legal permission, or approval from use of this template.</w:t>
      </w:r>
    </w:p>
    <w:p>
      <w:pPr>
        <w:pStyle w:val="Heading2"/>
      </w:pPr>
      <w:r>
        <w:t>Evidence and implementation traceability</w:t>
      </w:r>
    </w:p>
    <w:p>
      <w:r>
        <w:t>For every consequential definition, input, or assumption, record: source ID and exact page/table; population and date; the statement it supports; applicability and limitations; implementation artifact; responsible reviewer; verification status. Keep unsupported choices marked unresolved. Store full citations with stable DOI or official URLs.</w:t>
      </w:r>
    </w:p>
    <w:p>
      <w:r>
        <w:t>For each analysis, specify the objective, population, outcome and time horizon, target quantity, estimator, uncertainty, diagnostics, sensitivity analyses, planned table or figure, and responsible programmer. Link the SAP, data dictionary, versioned code lists, data-fitness assessment, phenotype evidence matrix, and deviation log where applicable.</w:t>
      </w:r>
    </w:p>
    <w:p>
      <w:pPr>
        <w:pStyle w:val="Heading2"/>
      </w:pPr>
      <w:r>
        <w:t>Review disposition</w:t>
      </w:r>
    </w:p>
    <w:p>
      <w:r>
        <w:t>Scientific design: [reviewer, date, concerns]. Clinical interpretation: [reviewer, date]. Data and programming feasibility: [reviewer, date]. Statistics or economics: [reviewer, date]. Governance: [reviewer, date]. Remaining material limitations: [complete]. A populated template is not approval of the design.</w:t>
      </w:r>
    </w:p>
    <w:sectPr w:rsidR="00FC693F" w:rsidRPr="0006063C" w:rsidSect="00034616">
      <w:headerReference w:type="default" r:id="rId9"/>
      <w:footerReference w:type="default" r:id="rId10"/>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Descriptive RWE protocol  |  Generated 2026-10-31  |  Markdown source remains authoritative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5A5A5A"/>
        <w:sz w:val="16"/>
      </w:rPr>
      <w:t>RWEdnesdays editorial working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mplateSubtitle">
    <w:name w:val="Template Subtitle"/>
    <w:pPr>
      <w:spacing w:after="280"/>
    </w:pPr>
    <w:rPr>
      <w:rFonts w:ascii="Aptos" w:hAnsi="Aptos"/>
      <w:i/>
      <w:color w:val="50505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371/journal.pmed.0040296" TargetMode="External"/><Relationship Id="rId12" Type="http://schemas.openxmlformats.org/officeDocument/2006/relationships/hyperlink" Target="https://doi.org/10.1371/journal.pmed.1001885" TargetMode="External"/><Relationship Id="rId13" Type="http://schemas.openxmlformats.org/officeDocument/2006/relationships/hyperlink" Target="https://doi.org/10.1136/bmj.k35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